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77" w:rsidRPr="00000DB0" w:rsidRDefault="00BE2F77" w:rsidP="00BE2F77">
      <w:pPr>
        <w:pStyle w:val="Default"/>
        <w:contextualSpacing/>
        <w:rPr>
          <w:rFonts w:ascii="KaiTi" w:eastAsia="KaiTi" w:hAnsi="KaiTi" w:cs="Roboto"/>
        </w:rPr>
      </w:pPr>
      <w:r w:rsidRPr="00000DB0">
        <w:rPr>
          <w:rFonts w:ascii="KaiTi" w:eastAsia="KaiTi" w:hAnsi="KaiTi" w:cs="Roboto" w:hint="eastAsia"/>
        </w:rPr>
        <w:t>1.维护时智能提醒</w:t>
      </w:r>
    </w:p>
    <w:p w:rsidR="00BE2F77" w:rsidRDefault="00BE2F77" w:rsidP="00BE2F77">
      <w:r w:rsidRPr="007A6162">
        <w:rPr>
          <w:rFonts w:hint="eastAsia"/>
          <w:noProof/>
        </w:rPr>
        <w:drawing>
          <wp:inline distT="0" distB="0" distL="0" distR="0" wp14:anchorId="3DB9E824" wp14:editId="200B728A">
            <wp:extent cx="3813552" cy="35128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922" cy="351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7" w:rsidRPr="00752E82" w:rsidRDefault="00BE2F77" w:rsidP="00BE2F77">
      <w:pPr>
        <w:pStyle w:val="Default"/>
        <w:contextualSpacing/>
        <w:rPr>
          <w:rFonts w:ascii="KaiTi" w:eastAsia="KaiTi" w:hAnsi="KaiTi"/>
        </w:rPr>
      </w:pPr>
      <w:r>
        <w:rPr>
          <w:rFonts w:ascii="KaiTi" w:eastAsia="KaiTi" w:hAnsi="KaiTi" w:hint="eastAsia"/>
        </w:rPr>
        <w:t>-</w:t>
      </w:r>
      <w:r w:rsidRPr="00752E82">
        <w:rPr>
          <w:rFonts w:ascii="KaiTi" w:eastAsia="KaiTi" w:hAnsi="KaiTi" w:hint="eastAsia"/>
        </w:rPr>
        <w:t>仪器早期维护反馈可预测并通知用户日常维护操作相关信息，如毛细管更换、检测器性能等</w:t>
      </w:r>
    </w:p>
    <w:p w:rsidR="00BE2F77" w:rsidRPr="00752E82" w:rsidRDefault="00BE2F77" w:rsidP="00BE2F77"/>
    <w:p w:rsidR="00BE2F77" w:rsidRPr="00000DB0" w:rsidRDefault="00BE2F77" w:rsidP="00BE2F77">
      <w:pPr>
        <w:pStyle w:val="Default"/>
        <w:contextualSpacing/>
        <w:rPr>
          <w:rFonts w:ascii="KaiTi" w:eastAsia="KaiTi" w:hAnsi="KaiTi" w:cs="Roboto"/>
        </w:rPr>
      </w:pPr>
      <w:r>
        <w:rPr>
          <w:rFonts w:ascii="KaiTi" w:eastAsia="KaiTi" w:hAnsi="KaiTi" w:cs="Roboto" w:hint="eastAsia"/>
        </w:rPr>
        <w:t>2.</w:t>
      </w:r>
      <w:r w:rsidRPr="00000DB0">
        <w:rPr>
          <w:rFonts w:ascii="KaiTi" w:eastAsia="KaiTi" w:hAnsi="KaiTi" w:cs="Roboto" w:hint="eastAsia"/>
        </w:rPr>
        <w:t>智能自动采集和自动调谐</w:t>
      </w:r>
    </w:p>
    <w:p w:rsidR="00BE2F77" w:rsidRDefault="00BE2F77" w:rsidP="00BE2F77">
      <w:pPr>
        <w:pStyle w:val="Default"/>
      </w:pPr>
      <w:r w:rsidRPr="007A6162">
        <w:rPr>
          <w:noProof/>
        </w:rPr>
        <w:drawing>
          <wp:inline distT="0" distB="0" distL="0" distR="0" wp14:anchorId="7235DA38" wp14:editId="17017821">
            <wp:extent cx="5274310" cy="28727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7" w:rsidRPr="00A85355" w:rsidRDefault="00BE2F77" w:rsidP="00BE2F77">
      <w:pPr>
        <w:pStyle w:val="Default"/>
        <w:contextualSpacing/>
        <w:rPr>
          <w:rFonts w:ascii="KaiTi" w:eastAsia="KaiTi" w:hAnsi="KaiTi"/>
        </w:rPr>
      </w:pPr>
      <w:r>
        <w:rPr>
          <w:rFonts w:ascii="KaiTi" w:eastAsia="KaiTi" w:hAnsi="KaiTi" w:hint="eastAsia"/>
        </w:rPr>
        <w:t>-</w:t>
      </w:r>
      <w:r w:rsidRPr="00A85355">
        <w:rPr>
          <w:rFonts w:ascii="KaiTi" w:eastAsia="KaiTi" w:hAnsi="KaiTi" w:hint="eastAsia"/>
        </w:rPr>
        <w:t>全新的自动采集模式基于</w:t>
      </w:r>
      <w:r w:rsidRPr="00A85355">
        <w:rPr>
          <w:rFonts w:ascii="KaiTi" w:eastAsia="KaiTi" w:hAnsi="KaiTi"/>
        </w:rPr>
        <w:t xml:space="preserve">LC </w:t>
      </w:r>
      <w:r w:rsidRPr="00A85355">
        <w:rPr>
          <w:rFonts w:ascii="KaiTi" w:eastAsia="KaiTi" w:hAnsi="KaiTi" w:hint="eastAsia"/>
        </w:rPr>
        <w:t>方法和目标分析物自动设置</w:t>
      </w:r>
      <w:r w:rsidRPr="00A85355">
        <w:rPr>
          <w:rFonts w:ascii="KaiTi" w:eastAsia="KaiTi" w:hAnsi="KaiTi"/>
        </w:rPr>
        <w:t xml:space="preserve">MS </w:t>
      </w:r>
      <w:r w:rsidRPr="00A85355">
        <w:rPr>
          <w:rFonts w:ascii="KaiTi" w:eastAsia="KaiTi" w:hAnsi="KaiTi" w:hint="eastAsia"/>
        </w:rPr>
        <w:t>参数</w:t>
      </w:r>
    </w:p>
    <w:p w:rsidR="00BE2F77" w:rsidRPr="00A85355" w:rsidRDefault="00BE2F77" w:rsidP="00BE2F77">
      <w:pPr>
        <w:pStyle w:val="Default"/>
        <w:contextualSpacing/>
        <w:rPr>
          <w:rFonts w:ascii="KaiTi" w:eastAsia="KaiTi" w:hAnsi="KaiTi"/>
        </w:rPr>
      </w:pPr>
      <w:r>
        <w:rPr>
          <w:rFonts w:ascii="KaiTi" w:eastAsia="KaiTi" w:hAnsi="KaiTi" w:hint="eastAsia"/>
        </w:rPr>
        <w:lastRenderedPageBreak/>
        <w:t>-</w:t>
      </w:r>
      <w:r w:rsidRPr="00A85355">
        <w:rPr>
          <w:rFonts w:ascii="KaiTi" w:eastAsia="KaiTi" w:hAnsi="KaiTi" w:hint="eastAsia"/>
        </w:rPr>
        <w:t>用户只需提供</w:t>
      </w:r>
      <w:r w:rsidRPr="00A85355">
        <w:rPr>
          <w:rFonts w:ascii="KaiTi" w:eastAsia="KaiTi" w:hAnsi="KaiTi"/>
        </w:rPr>
        <w:t xml:space="preserve">LC </w:t>
      </w:r>
      <w:r w:rsidRPr="00A85355">
        <w:rPr>
          <w:rFonts w:ascii="KaiTi" w:eastAsia="KaiTi" w:hAnsi="KaiTi" w:hint="eastAsia"/>
        </w:rPr>
        <w:t>方法和质量范围（或</w:t>
      </w:r>
      <w:r w:rsidRPr="00A85355">
        <w:rPr>
          <w:rFonts w:ascii="KaiTi" w:eastAsia="KaiTi" w:hAnsi="KaiTi"/>
        </w:rPr>
        <w:t xml:space="preserve">SIM </w:t>
      </w:r>
      <w:r w:rsidRPr="00A85355">
        <w:rPr>
          <w:rFonts w:ascii="KaiTi" w:eastAsia="KaiTi" w:hAnsi="KaiTi" w:hint="eastAsia"/>
        </w:rPr>
        <w:t>的质量数），软件将负责完成其余工作</w:t>
      </w:r>
    </w:p>
    <w:p w:rsidR="00BE2F77" w:rsidRPr="00000DB0" w:rsidRDefault="00BE2F77" w:rsidP="00BE2F77">
      <w:pPr>
        <w:pStyle w:val="Default"/>
        <w:contextualSpacing/>
        <w:rPr>
          <w:rFonts w:ascii="KaiTi" w:eastAsia="KaiTi" w:hAnsi="KaiTi" w:cs="Roboto"/>
        </w:rPr>
      </w:pPr>
      <w:r>
        <w:rPr>
          <w:rFonts w:ascii="KaiTi" w:eastAsia="KaiTi" w:hAnsi="KaiTi" w:cs="Roboto" w:hint="eastAsia"/>
        </w:rPr>
        <w:t>3.</w:t>
      </w:r>
      <w:r w:rsidRPr="00000DB0">
        <w:rPr>
          <w:rFonts w:ascii="KaiTi" w:eastAsia="KaiTi" w:hAnsi="KaiTi" w:cs="Roboto"/>
        </w:rPr>
        <w:t>OpenLab CDS</w:t>
      </w:r>
      <w:r w:rsidRPr="00000DB0">
        <w:rPr>
          <w:rFonts w:ascii="KaiTi" w:eastAsia="KaiTi" w:hAnsi="KaiTi" w:cs="Roboto" w:hint="eastAsia"/>
        </w:rPr>
        <w:t>智能界面—易学、直观</w:t>
      </w:r>
    </w:p>
    <w:p w:rsidR="00BE2F77" w:rsidRPr="00AA1145" w:rsidRDefault="00BE2F77" w:rsidP="00BE2F77">
      <w:pPr>
        <w:pStyle w:val="Default"/>
        <w:contextualSpacing/>
        <w:rPr>
          <w:rFonts w:ascii="KaiTi" w:eastAsia="KaiTi" w:hAnsi="KaiTi"/>
        </w:rPr>
      </w:pPr>
      <w:r>
        <w:rPr>
          <w:rFonts w:ascii="Arial" w:hAnsi="Arial" w:cs="Arial"/>
          <w:sz w:val="32"/>
          <w:szCs w:val="32"/>
        </w:rPr>
        <w:t>-</w:t>
      </w:r>
      <w:r w:rsidRPr="00AA1145">
        <w:rPr>
          <w:rFonts w:ascii="KaiTi" w:eastAsia="KaiTi" w:hAnsi="KaiTi" w:hint="eastAsia"/>
        </w:rPr>
        <w:t>其内置数据分析功能，可以在数据采集中直接从运行队列启动</w:t>
      </w:r>
    </w:p>
    <w:p w:rsidR="00BE2F77" w:rsidRPr="00AA1145" w:rsidRDefault="00BE2F77" w:rsidP="00BE2F77">
      <w:pPr>
        <w:pStyle w:val="Default"/>
        <w:contextualSpacing/>
        <w:rPr>
          <w:rFonts w:ascii="KaiTi" w:eastAsia="KaiTi" w:hAnsi="KaiTi"/>
        </w:rPr>
      </w:pPr>
      <w:r>
        <w:rPr>
          <w:rFonts w:hAnsi="微软雅黑" w:hint="eastAsia"/>
        </w:rPr>
        <w:t>-</w:t>
      </w:r>
      <w:r w:rsidRPr="00AA1145">
        <w:rPr>
          <w:rFonts w:ascii="KaiTi" w:eastAsia="KaiTi" w:hAnsi="KaiTi" w:hint="eastAsia"/>
        </w:rPr>
        <w:t>单个处理方法将在运行完成后自动处理数据并立即生成报告</w:t>
      </w:r>
    </w:p>
    <w:p w:rsidR="00BE2F77" w:rsidRPr="00A85355" w:rsidRDefault="00BE2F77" w:rsidP="00BE2F77">
      <w:pPr>
        <w:pStyle w:val="Default"/>
        <w:contextualSpacing/>
        <w:rPr>
          <w:rFonts w:ascii="KaiTi" w:eastAsia="KaiTi" w:hAnsi="KaiTi"/>
        </w:rPr>
      </w:pPr>
      <w:r>
        <w:rPr>
          <w:rFonts w:ascii="KaiTi" w:eastAsia="KaiTi" w:hAnsi="KaiTi" w:hint="eastAsia"/>
        </w:rPr>
        <w:t>-</w:t>
      </w:r>
      <w:r w:rsidRPr="00A85355">
        <w:rPr>
          <w:rFonts w:ascii="KaiTi" w:eastAsia="KaiTi" w:hAnsi="KaiTi" w:hint="eastAsia"/>
        </w:rPr>
        <w:t>提供完整的法规认证功能，可为美国</w:t>
      </w:r>
      <w:r w:rsidRPr="00A85355">
        <w:rPr>
          <w:rFonts w:ascii="KaiTi" w:eastAsia="KaiTi" w:hAnsi="KaiTi"/>
        </w:rPr>
        <w:t>FDA21CFRPart11</w:t>
      </w:r>
      <w:r w:rsidRPr="00A85355">
        <w:rPr>
          <w:rFonts w:ascii="KaiTi" w:eastAsia="KaiTi" w:hAnsi="KaiTi" w:hint="eastAsia"/>
        </w:rPr>
        <w:t>、欧盟附录</w:t>
      </w:r>
      <w:r w:rsidRPr="00A85355">
        <w:rPr>
          <w:rFonts w:ascii="KaiTi" w:eastAsia="KaiTi" w:hAnsi="KaiTi"/>
        </w:rPr>
        <w:t>11</w:t>
      </w:r>
      <w:r w:rsidRPr="00A85355">
        <w:rPr>
          <w:rFonts w:ascii="KaiTi" w:eastAsia="KaiTi" w:hAnsi="KaiTi" w:hint="eastAsia"/>
        </w:rPr>
        <w:t>及其他类似法规提供数据可靠性支持。</w:t>
      </w:r>
    </w:p>
    <w:p w:rsidR="00BE2F77" w:rsidRPr="00A85355" w:rsidRDefault="00BE2F77" w:rsidP="00BE2F77">
      <w:pPr>
        <w:pStyle w:val="Default"/>
        <w:contextualSpacing/>
        <w:rPr>
          <w:rFonts w:ascii="KaiTi" w:eastAsia="KaiTi" w:hAnsi="KaiTi"/>
        </w:rPr>
      </w:pPr>
    </w:p>
    <w:p w:rsidR="00BE2F77" w:rsidRDefault="00BE2F77" w:rsidP="00BE2F77">
      <w:r w:rsidRPr="00AA1145">
        <w:rPr>
          <w:rFonts w:hint="eastAsia"/>
          <w:noProof/>
        </w:rPr>
        <w:drawing>
          <wp:inline distT="0" distB="0" distL="0" distR="0" wp14:anchorId="2E6A3F1D" wp14:editId="3D040D0F">
            <wp:extent cx="5274310" cy="284988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7" w:rsidRPr="007A6162" w:rsidRDefault="00BE2F77" w:rsidP="00BE2F77">
      <w:pPr>
        <w:rPr>
          <w:rFonts w:ascii="Roboto" w:hAnsi="Roboto" w:cs="Roboto"/>
          <w:sz w:val="32"/>
          <w:szCs w:val="32"/>
        </w:rPr>
      </w:pPr>
    </w:p>
    <w:p w:rsidR="00BE2F77" w:rsidRPr="00000DB0" w:rsidRDefault="00BE2F77" w:rsidP="00BE2F77">
      <w:pPr>
        <w:pStyle w:val="Default"/>
        <w:contextualSpacing/>
        <w:rPr>
          <w:rFonts w:ascii="KaiTi" w:eastAsia="KaiTi" w:hAnsi="KaiTi"/>
        </w:rPr>
      </w:pPr>
      <w:r w:rsidRPr="00000DB0">
        <w:rPr>
          <w:rFonts w:ascii="KaiTi" w:eastAsia="KaiTi" w:hAnsi="KaiTi" w:hint="eastAsia"/>
        </w:rPr>
        <w:t>4.智能MS的灵敏度和选择性</w:t>
      </w:r>
    </w:p>
    <w:p w:rsidR="00BE2F77" w:rsidRDefault="00BE2F77" w:rsidP="00BE2F77">
      <w:pPr>
        <w:pStyle w:val="Default"/>
      </w:pPr>
      <w:r w:rsidRPr="007A6162">
        <w:rPr>
          <w:rFonts w:hint="eastAsia"/>
          <w:noProof/>
        </w:rPr>
        <w:lastRenderedPageBreak/>
        <w:drawing>
          <wp:inline distT="0" distB="0" distL="0" distR="0" wp14:anchorId="5F75C3E7" wp14:editId="43E94B63">
            <wp:extent cx="2666231" cy="232918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080" cy="233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7" w:rsidRPr="00A85355" w:rsidRDefault="00BE2F77" w:rsidP="00BE2F77">
      <w:pPr>
        <w:pStyle w:val="Default"/>
        <w:contextualSpacing/>
        <w:rPr>
          <w:rFonts w:ascii="KaiTi" w:eastAsia="KaiTi" w:hAnsi="KaiTi"/>
        </w:rPr>
      </w:pPr>
      <w:r>
        <w:rPr>
          <w:rFonts w:ascii="KaiTi" w:eastAsia="KaiTi" w:hAnsi="KaiTi" w:hint="eastAsia"/>
        </w:rPr>
        <w:t>-</w:t>
      </w:r>
      <w:r w:rsidRPr="00A85355">
        <w:rPr>
          <w:rFonts w:ascii="KaiTi" w:eastAsia="KaiTi" w:hAnsi="KaiTi" w:hint="eastAsia"/>
        </w:rPr>
        <w:t>质谱检测的灵敏度比</w:t>
      </w:r>
      <w:r w:rsidRPr="00A85355">
        <w:rPr>
          <w:rFonts w:ascii="KaiTi" w:eastAsia="KaiTi" w:hAnsi="KaiTi"/>
        </w:rPr>
        <w:t xml:space="preserve">UV </w:t>
      </w:r>
      <w:proofErr w:type="gramStart"/>
      <w:r w:rsidRPr="00A85355">
        <w:rPr>
          <w:rFonts w:ascii="KaiTi" w:eastAsia="KaiTi" w:hAnsi="KaiTi" w:hint="eastAsia"/>
        </w:rPr>
        <w:t>检测高</w:t>
      </w:r>
      <w:proofErr w:type="gramEnd"/>
      <w:r w:rsidRPr="00A85355">
        <w:rPr>
          <w:rFonts w:ascii="KaiTi" w:eastAsia="KaiTi" w:hAnsi="KaiTi"/>
        </w:rPr>
        <w:t xml:space="preserve">100 </w:t>
      </w:r>
      <w:proofErr w:type="gramStart"/>
      <w:r w:rsidRPr="00A85355">
        <w:rPr>
          <w:rFonts w:ascii="KaiTi" w:eastAsia="KaiTi" w:hAnsi="KaiTi" w:hint="eastAsia"/>
        </w:rPr>
        <w:t>倍</w:t>
      </w:r>
      <w:proofErr w:type="gramEnd"/>
      <w:r w:rsidRPr="00A85355">
        <w:rPr>
          <w:rFonts w:ascii="KaiTi" w:eastAsia="KaiTi" w:hAnsi="KaiTi" w:hint="eastAsia"/>
        </w:rPr>
        <w:t>以上</w:t>
      </w:r>
    </w:p>
    <w:p w:rsidR="00BE2F77" w:rsidRPr="00A85355" w:rsidRDefault="00BE2F77" w:rsidP="00BE2F77">
      <w:pPr>
        <w:pStyle w:val="Default"/>
        <w:contextualSpacing/>
        <w:rPr>
          <w:rFonts w:ascii="KaiTi" w:eastAsia="KaiTi" w:hAnsi="KaiTi"/>
        </w:rPr>
      </w:pPr>
      <w:r>
        <w:rPr>
          <w:rFonts w:hAnsi="微软雅黑" w:hint="eastAsia"/>
        </w:rPr>
        <w:t>-</w:t>
      </w:r>
      <w:r w:rsidRPr="00A85355">
        <w:rPr>
          <w:rFonts w:ascii="KaiTi" w:eastAsia="KaiTi" w:hAnsi="KaiTi" w:hint="eastAsia"/>
        </w:rPr>
        <w:t>对于选择离子监测</w:t>
      </w:r>
      <w:r w:rsidRPr="00A85355">
        <w:rPr>
          <w:rFonts w:ascii="KaiTi" w:eastAsia="KaiTi" w:hAnsi="KaiTi"/>
        </w:rPr>
        <w:t xml:space="preserve">(SIM) </w:t>
      </w:r>
      <w:r w:rsidRPr="00A85355">
        <w:rPr>
          <w:rFonts w:ascii="KaiTi" w:eastAsia="KaiTi" w:hAnsi="KaiTi" w:hint="eastAsia"/>
        </w:rPr>
        <w:t>模式，</w:t>
      </w:r>
      <w:r w:rsidRPr="00A85355">
        <w:rPr>
          <w:rFonts w:ascii="KaiTi" w:eastAsia="KaiTi" w:hAnsi="KaiTi"/>
        </w:rPr>
        <w:t>MS</w:t>
      </w:r>
      <w:r w:rsidRPr="00A85355">
        <w:rPr>
          <w:rFonts w:ascii="KaiTi" w:eastAsia="KaiTi" w:hAnsi="KaiTi" w:hint="eastAsia"/>
        </w:rPr>
        <w:t>使用更长时间过滤选定质量数，从而大大提高了灵敏度</w:t>
      </w:r>
    </w:p>
    <w:p w:rsidR="00BE2F77" w:rsidRPr="00A85355" w:rsidRDefault="00BE2F77" w:rsidP="00BE2F77">
      <w:pPr>
        <w:pStyle w:val="Default"/>
        <w:contextualSpacing/>
        <w:rPr>
          <w:rFonts w:ascii="KaiTi" w:eastAsia="KaiTi" w:hAnsi="KaiTi"/>
        </w:rPr>
      </w:pPr>
      <w:r>
        <w:rPr>
          <w:rFonts w:ascii="KaiTi" w:eastAsia="KaiTi" w:hAnsi="KaiTi" w:hint="eastAsia"/>
        </w:rPr>
        <w:t>-</w:t>
      </w:r>
      <w:r w:rsidRPr="00A85355">
        <w:rPr>
          <w:rFonts w:ascii="KaiTi" w:eastAsia="KaiTi" w:hAnsi="KaiTi" w:hint="eastAsia"/>
        </w:rPr>
        <w:t>提取离子色谱图</w:t>
      </w:r>
      <w:r w:rsidRPr="00A85355">
        <w:rPr>
          <w:rFonts w:ascii="KaiTi" w:eastAsia="KaiTi" w:hAnsi="KaiTi"/>
        </w:rPr>
        <w:t>(EIC)</w:t>
      </w:r>
      <w:r w:rsidRPr="00A85355">
        <w:rPr>
          <w:rFonts w:ascii="KaiTi" w:eastAsia="KaiTi" w:hAnsi="KaiTi" w:hint="eastAsia"/>
        </w:rPr>
        <w:t>可显示选定质量数在色谱峰中的</w:t>
      </w:r>
      <w:proofErr w:type="gramStart"/>
      <w:r w:rsidRPr="00A85355">
        <w:rPr>
          <w:rFonts w:ascii="KaiTi" w:eastAsia="KaiTi" w:hAnsi="KaiTi" w:hint="eastAsia"/>
        </w:rPr>
        <w:t>组成占</w:t>
      </w:r>
      <w:proofErr w:type="gramEnd"/>
      <w:r w:rsidRPr="00A85355">
        <w:rPr>
          <w:rFonts w:ascii="KaiTi" w:eastAsia="KaiTi" w:hAnsi="KaiTi" w:hint="eastAsia"/>
        </w:rPr>
        <w:t>比，从而提高了选择性</w:t>
      </w:r>
    </w:p>
    <w:p w:rsidR="00BE2F77" w:rsidRPr="00A85355" w:rsidRDefault="00BE2F77" w:rsidP="00BE2F77">
      <w:pPr>
        <w:pStyle w:val="Default"/>
        <w:contextualSpacing/>
        <w:rPr>
          <w:rFonts w:ascii="KaiTi" w:eastAsia="KaiTi" w:hAnsi="KaiTi"/>
        </w:rPr>
      </w:pPr>
      <w:r>
        <w:rPr>
          <w:rFonts w:hAnsi="微软雅黑" w:hint="eastAsia"/>
        </w:rPr>
        <w:t>-</w:t>
      </w:r>
      <w:r w:rsidRPr="00A85355">
        <w:rPr>
          <w:rFonts w:ascii="KaiTi" w:eastAsia="KaiTi" w:hAnsi="KaiTi" w:hint="eastAsia"/>
        </w:rPr>
        <w:t>通过选择三种磺胺类化合物的质量数，将图</w:t>
      </w:r>
      <w:r w:rsidRPr="00A85355">
        <w:rPr>
          <w:rFonts w:ascii="KaiTi" w:eastAsia="KaiTi" w:hAnsi="KaiTi"/>
        </w:rPr>
        <w:t>6</w:t>
      </w:r>
      <w:r w:rsidRPr="00A85355">
        <w:rPr>
          <w:rFonts w:ascii="KaiTi" w:eastAsia="KaiTi" w:hAnsi="KaiTi" w:hint="eastAsia"/>
        </w:rPr>
        <w:t>中的共流出</w:t>
      </w:r>
      <w:proofErr w:type="gramStart"/>
      <w:r w:rsidRPr="00A85355">
        <w:rPr>
          <w:rFonts w:ascii="KaiTi" w:eastAsia="KaiTi" w:hAnsi="KaiTi" w:hint="eastAsia"/>
        </w:rPr>
        <w:t>峰分为</w:t>
      </w:r>
      <w:proofErr w:type="gramEnd"/>
      <w:r w:rsidRPr="00A85355">
        <w:rPr>
          <w:rFonts w:ascii="KaiTi" w:eastAsia="KaiTi" w:hAnsi="KaiTi" w:hint="eastAsia"/>
        </w:rPr>
        <w:t>两个峰</w:t>
      </w:r>
    </w:p>
    <w:p w:rsidR="00BE2F77" w:rsidRPr="00752E82" w:rsidRDefault="00BE2F77" w:rsidP="00BE2F77"/>
    <w:p w:rsidR="00BE2F77" w:rsidRPr="00853BAD" w:rsidRDefault="00BE2F77" w:rsidP="00BE2F77">
      <w:pPr>
        <w:pStyle w:val="Default"/>
        <w:contextualSpacing/>
        <w:rPr>
          <w:rFonts w:ascii="KaiTi" w:eastAsia="KaiTi" w:hAnsi="KaiTi"/>
        </w:rPr>
      </w:pPr>
      <w:r>
        <w:rPr>
          <w:rFonts w:ascii="KaiTi" w:eastAsia="KaiTi" w:hAnsi="KaiTi" w:hint="eastAsia"/>
        </w:rPr>
        <w:t>5.</w:t>
      </w:r>
      <w:r w:rsidRPr="00853BAD">
        <w:rPr>
          <w:rFonts w:ascii="KaiTi" w:eastAsia="KaiTi" w:hAnsi="KaiTi" w:hint="eastAsia"/>
        </w:rPr>
        <w:t>实际案例：品牌药和仿制药杂质分析</w:t>
      </w:r>
    </w:p>
    <w:p w:rsidR="00BE2F77" w:rsidRDefault="00BE2F77" w:rsidP="00BE2F77">
      <w:r w:rsidRPr="00AA1145">
        <w:rPr>
          <w:rFonts w:hint="eastAsia"/>
          <w:noProof/>
        </w:rPr>
        <w:drawing>
          <wp:inline distT="0" distB="0" distL="0" distR="0" wp14:anchorId="67FDDFF7" wp14:editId="1186001E">
            <wp:extent cx="5274310" cy="23025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7" w:rsidRDefault="00BE2F77" w:rsidP="00BE2F77">
      <w:pPr>
        <w:rPr>
          <w:rFonts w:hAnsi="Roboto"/>
          <w:sz w:val="23"/>
          <w:szCs w:val="23"/>
        </w:rPr>
      </w:pPr>
      <w:r>
        <w:rPr>
          <w:rFonts w:hint="eastAsia"/>
          <w:sz w:val="23"/>
          <w:szCs w:val="23"/>
        </w:rPr>
        <w:t>图</w:t>
      </w:r>
      <w:r>
        <w:rPr>
          <w:rFonts w:ascii="Roboto" w:hAnsi="Roboto" w:cs="Roboto"/>
          <w:sz w:val="23"/>
          <w:szCs w:val="23"/>
        </w:rPr>
        <w:t>9.</w:t>
      </w:r>
      <w:r>
        <w:rPr>
          <w:rFonts w:hAnsi="Roboto" w:hint="eastAsia"/>
          <w:sz w:val="23"/>
          <w:szCs w:val="23"/>
        </w:rPr>
        <w:t>柱</w:t>
      </w:r>
      <w:proofErr w:type="gramStart"/>
      <w:r>
        <w:rPr>
          <w:rFonts w:hAnsi="Roboto" w:hint="eastAsia"/>
          <w:sz w:val="23"/>
          <w:szCs w:val="23"/>
        </w:rPr>
        <w:t>上进样量为</w:t>
      </w:r>
      <w:proofErr w:type="gramEnd"/>
      <w:r>
        <w:rPr>
          <w:rFonts w:ascii="Roboto" w:hAnsi="Roboto" w:cs="Roboto"/>
          <w:sz w:val="23"/>
          <w:szCs w:val="23"/>
        </w:rPr>
        <w:t xml:space="preserve">5 ng </w:t>
      </w:r>
      <w:r>
        <w:rPr>
          <w:rFonts w:hAnsi="Roboto" w:hint="eastAsia"/>
          <w:sz w:val="23"/>
          <w:szCs w:val="23"/>
        </w:rPr>
        <w:t>的对乙酰氨基</w:t>
      </w:r>
      <w:proofErr w:type="gramStart"/>
      <w:r>
        <w:rPr>
          <w:rFonts w:hAnsi="Roboto" w:hint="eastAsia"/>
          <w:sz w:val="23"/>
          <w:szCs w:val="23"/>
        </w:rPr>
        <w:t>酚</w:t>
      </w:r>
      <w:proofErr w:type="gramEnd"/>
      <w:r>
        <w:rPr>
          <w:rFonts w:hAnsi="Roboto" w:hint="eastAsia"/>
          <w:sz w:val="23"/>
          <w:szCs w:val="23"/>
        </w:rPr>
        <w:t>杂质标准品的目标化合物分析</w:t>
      </w:r>
    </w:p>
    <w:p w:rsidR="00BE2F77" w:rsidRDefault="00BE2F77" w:rsidP="00BE2F77">
      <w:pPr>
        <w:rPr>
          <w:sz w:val="23"/>
          <w:szCs w:val="23"/>
        </w:rPr>
      </w:pPr>
    </w:p>
    <w:p w:rsidR="00BE2F77" w:rsidRDefault="00BE2F77" w:rsidP="00BE2F77">
      <w:pPr>
        <w:rPr>
          <w:rFonts w:hAnsi="Roboto"/>
          <w:sz w:val="23"/>
          <w:szCs w:val="23"/>
        </w:rPr>
      </w:pPr>
      <w:r>
        <w:rPr>
          <w:rFonts w:hint="eastAsia"/>
          <w:sz w:val="23"/>
          <w:szCs w:val="23"/>
        </w:rPr>
        <w:t>表</w:t>
      </w:r>
      <w:r>
        <w:rPr>
          <w:rFonts w:ascii="Roboto" w:hAnsi="Roboto" w:cs="Roboto"/>
          <w:sz w:val="23"/>
          <w:szCs w:val="23"/>
        </w:rPr>
        <w:t>1.</w:t>
      </w:r>
      <w:r>
        <w:rPr>
          <w:rFonts w:hAnsi="Roboto" w:hint="eastAsia"/>
          <w:sz w:val="23"/>
          <w:szCs w:val="23"/>
        </w:rPr>
        <w:t>检出的对乙酰氨基</w:t>
      </w:r>
      <w:proofErr w:type="gramStart"/>
      <w:r>
        <w:rPr>
          <w:rFonts w:hAnsi="Roboto" w:hint="eastAsia"/>
          <w:sz w:val="23"/>
          <w:szCs w:val="23"/>
        </w:rPr>
        <w:t>酚</w:t>
      </w:r>
      <w:proofErr w:type="gramEnd"/>
      <w:r>
        <w:rPr>
          <w:rFonts w:ascii="Roboto" w:hAnsi="Roboto" w:cs="Roboto"/>
          <w:sz w:val="23"/>
          <w:szCs w:val="23"/>
        </w:rPr>
        <w:t xml:space="preserve">API </w:t>
      </w:r>
      <w:r>
        <w:rPr>
          <w:rFonts w:hAnsi="Roboto" w:hint="eastAsia"/>
          <w:sz w:val="23"/>
          <w:szCs w:val="23"/>
        </w:rPr>
        <w:t>相关杂质的百分比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4353"/>
      </w:tblGrid>
      <w:tr w:rsidR="00BE2F77" w:rsidTr="006144F1">
        <w:trPr>
          <w:trHeight w:val="169"/>
        </w:trPr>
        <w:tc>
          <w:tcPr>
            <w:tcW w:w="959" w:type="dxa"/>
          </w:tcPr>
          <w:p w:rsidR="00BE2F77" w:rsidRPr="00EC7E02" w:rsidRDefault="00BE2F77" w:rsidP="006144F1">
            <w:pPr>
              <w:pStyle w:val="Default"/>
              <w:rPr>
                <w:sz w:val="22"/>
                <w:szCs w:val="32"/>
              </w:rPr>
            </w:pPr>
            <w:r w:rsidRPr="00EC7E02">
              <w:rPr>
                <w:rFonts w:hint="eastAsia"/>
                <w:b/>
                <w:bCs/>
                <w:sz w:val="22"/>
                <w:szCs w:val="32"/>
              </w:rPr>
              <w:t>杂质</w:t>
            </w:r>
          </w:p>
        </w:tc>
        <w:tc>
          <w:tcPr>
            <w:tcW w:w="1276" w:type="dxa"/>
          </w:tcPr>
          <w:p w:rsidR="00BE2F77" w:rsidRPr="00EC7E02" w:rsidRDefault="00BE2F77" w:rsidP="006144F1">
            <w:pPr>
              <w:pStyle w:val="Default"/>
              <w:rPr>
                <w:sz w:val="22"/>
                <w:szCs w:val="32"/>
              </w:rPr>
            </w:pPr>
            <w:r w:rsidRPr="00EC7E02">
              <w:rPr>
                <w:rFonts w:hint="eastAsia"/>
                <w:b/>
                <w:bCs/>
                <w:sz w:val="22"/>
                <w:szCs w:val="32"/>
              </w:rPr>
              <w:t>品牌药</w:t>
            </w:r>
          </w:p>
        </w:tc>
        <w:tc>
          <w:tcPr>
            <w:tcW w:w="4353" w:type="dxa"/>
          </w:tcPr>
          <w:p w:rsidR="00BE2F77" w:rsidRPr="00EC7E02" w:rsidRDefault="00BE2F77" w:rsidP="006144F1">
            <w:pPr>
              <w:pStyle w:val="Default"/>
              <w:rPr>
                <w:sz w:val="22"/>
                <w:szCs w:val="32"/>
              </w:rPr>
            </w:pPr>
            <w:r w:rsidRPr="00EC7E02">
              <w:rPr>
                <w:rFonts w:hint="eastAsia"/>
                <w:b/>
                <w:bCs/>
                <w:sz w:val="22"/>
                <w:szCs w:val="32"/>
              </w:rPr>
              <w:t>仿制药</w:t>
            </w:r>
          </w:p>
        </w:tc>
      </w:tr>
      <w:tr w:rsidR="00BE2F77" w:rsidTr="006144F1">
        <w:trPr>
          <w:trHeight w:val="159"/>
        </w:trPr>
        <w:tc>
          <w:tcPr>
            <w:tcW w:w="959" w:type="dxa"/>
          </w:tcPr>
          <w:p w:rsidR="00BE2F77" w:rsidRPr="00EC7E02" w:rsidRDefault="00BE2F77" w:rsidP="006144F1">
            <w:pPr>
              <w:pStyle w:val="Default"/>
              <w:rPr>
                <w:rFonts w:ascii="Roboto" w:hAnsi="Roboto" w:cs="Roboto"/>
                <w:sz w:val="22"/>
                <w:szCs w:val="32"/>
              </w:rPr>
            </w:pPr>
            <w:r w:rsidRPr="00EC7E02">
              <w:rPr>
                <w:rFonts w:ascii="Roboto" w:hAnsi="Roboto" w:cs="Roboto"/>
                <w:sz w:val="22"/>
                <w:szCs w:val="32"/>
              </w:rPr>
              <w:lastRenderedPageBreak/>
              <w:t>A</w:t>
            </w:r>
          </w:p>
        </w:tc>
        <w:tc>
          <w:tcPr>
            <w:tcW w:w="1276" w:type="dxa"/>
          </w:tcPr>
          <w:p w:rsidR="00BE2F77" w:rsidRPr="00EC7E02" w:rsidRDefault="00BE2F77" w:rsidP="006144F1">
            <w:pPr>
              <w:pStyle w:val="Default"/>
              <w:rPr>
                <w:rFonts w:ascii="Roboto" w:hAnsi="Roboto" w:cs="Roboto"/>
                <w:sz w:val="22"/>
                <w:szCs w:val="32"/>
              </w:rPr>
            </w:pPr>
            <w:r w:rsidRPr="00EC7E02">
              <w:rPr>
                <w:rFonts w:ascii="Roboto" w:hAnsi="Roboto" w:cs="Roboto"/>
                <w:sz w:val="22"/>
                <w:szCs w:val="32"/>
              </w:rPr>
              <w:t>0.0024%</w:t>
            </w:r>
          </w:p>
        </w:tc>
        <w:tc>
          <w:tcPr>
            <w:tcW w:w="4353" w:type="dxa"/>
          </w:tcPr>
          <w:p w:rsidR="00BE2F77" w:rsidRPr="00EC7E02" w:rsidRDefault="00BE2F77" w:rsidP="006144F1">
            <w:pPr>
              <w:pStyle w:val="Default"/>
              <w:rPr>
                <w:rFonts w:ascii="Roboto" w:hAnsi="Roboto" w:cs="Roboto"/>
                <w:sz w:val="22"/>
                <w:szCs w:val="32"/>
              </w:rPr>
            </w:pPr>
            <w:r w:rsidRPr="00EC7E02">
              <w:rPr>
                <w:rFonts w:ascii="Roboto" w:hAnsi="Roboto" w:cs="Roboto"/>
                <w:sz w:val="22"/>
                <w:szCs w:val="32"/>
              </w:rPr>
              <w:t>0.0029%</w:t>
            </w:r>
          </w:p>
        </w:tc>
      </w:tr>
      <w:tr w:rsidR="00BE2F77" w:rsidTr="006144F1">
        <w:trPr>
          <w:trHeight w:val="159"/>
        </w:trPr>
        <w:tc>
          <w:tcPr>
            <w:tcW w:w="959" w:type="dxa"/>
          </w:tcPr>
          <w:p w:rsidR="00BE2F77" w:rsidRPr="00EC7E02" w:rsidRDefault="00BE2F77" w:rsidP="006144F1">
            <w:pPr>
              <w:pStyle w:val="Default"/>
              <w:rPr>
                <w:rFonts w:ascii="Roboto" w:hAnsi="Roboto" w:cs="Roboto"/>
                <w:sz w:val="22"/>
                <w:szCs w:val="32"/>
              </w:rPr>
            </w:pPr>
            <w:r w:rsidRPr="00EC7E02">
              <w:rPr>
                <w:rFonts w:ascii="Roboto" w:hAnsi="Roboto" w:cs="Roboto"/>
                <w:sz w:val="22"/>
                <w:szCs w:val="32"/>
              </w:rPr>
              <w:t>B</w:t>
            </w:r>
          </w:p>
        </w:tc>
        <w:tc>
          <w:tcPr>
            <w:tcW w:w="1276" w:type="dxa"/>
          </w:tcPr>
          <w:p w:rsidR="00BE2F77" w:rsidRPr="00EC7E02" w:rsidRDefault="00BE2F77" w:rsidP="006144F1">
            <w:pPr>
              <w:pStyle w:val="Default"/>
              <w:rPr>
                <w:rFonts w:ascii="Roboto" w:hAnsi="Roboto" w:cs="Roboto"/>
                <w:sz w:val="22"/>
                <w:szCs w:val="32"/>
              </w:rPr>
            </w:pPr>
            <w:r w:rsidRPr="00EC7E02">
              <w:rPr>
                <w:rFonts w:ascii="Roboto" w:hAnsi="Roboto" w:cs="Roboto"/>
                <w:sz w:val="22"/>
                <w:szCs w:val="32"/>
              </w:rPr>
              <w:t>0.0017%</w:t>
            </w:r>
          </w:p>
        </w:tc>
        <w:tc>
          <w:tcPr>
            <w:tcW w:w="4353" w:type="dxa"/>
          </w:tcPr>
          <w:p w:rsidR="00BE2F77" w:rsidRPr="00EC7E02" w:rsidRDefault="00BE2F77" w:rsidP="006144F1">
            <w:pPr>
              <w:pStyle w:val="Default"/>
              <w:rPr>
                <w:rFonts w:ascii="Roboto" w:hAnsi="Roboto" w:cs="Roboto"/>
                <w:sz w:val="22"/>
                <w:szCs w:val="32"/>
              </w:rPr>
            </w:pPr>
            <w:r w:rsidRPr="00EC7E02">
              <w:rPr>
                <w:rFonts w:ascii="Roboto" w:hAnsi="Roboto" w:cs="Roboto"/>
                <w:sz w:val="22"/>
                <w:szCs w:val="32"/>
              </w:rPr>
              <w:t>0.0057%</w:t>
            </w:r>
          </w:p>
        </w:tc>
      </w:tr>
      <w:tr w:rsidR="00BE2F77" w:rsidTr="006144F1">
        <w:trPr>
          <w:trHeight w:val="159"/>
        </w:trPr>
        <w:tc>
          <w:tcPr>
            <w:tcW w:w="959" w:type="dxa"/>
          </w:tcPr>
          <w:p w:rsidR="00BE2F77" w:rsidRPr="00EC7E02" w:rsidRDefault="00BE2F77" w:rsidP="006144F1">
            <w:pPr>
              <w:pStyle w:val="Default"/>
              <w:rPr>
                <w:rFonts w:ascii="Roboto" w:hAnsi="Roboto" w:cs="Roboto"/>
                <w:sz w:val="22"/>
                <w:szCs w:val="32"/>
              </w:rPr>
            </w:pPr>
            <w:r w:rsidRPr="00EC7E02">
              <w:rPr>
                <w:rFonts w:ascii="Roboto" w:hAnsi="Roboto" w:cs="Roboto"/>
                <w:sz w:val="22"/>
                <w:szCs w:val="32"/>
              </w:rPr>
              <w:t>D</w:t>
            </w:r>
          </w:p>
        </w:tc>
        <w:tc>
          <w:tcPr>
            <w:tcW w:w="1276" w:type="dxa"/>
          </w:tcPr>
          <w:p w:rsidR="00BE2F77" w:rsidRPr="00EC7E02" w:rsidRDefault="00BE2F77" w:rsidP="006144F1">
            <w:pPr>
              <w:pStyle w:val="Default"/>
              <w:rPr>
                <w:rFonts w:ascii="Roboto" w:hAnsi="Roboto" w:cs="Roboto"/>
                <w:sz w:val="22"/>
                <w:szCs w:val="32"/>
              </w:rPr>
            </w:pPr>
            <w:r w:rsidRPr="00EC7E02">
              <w:rPr>
                <w:rFonts w:ascii="Roboto" w:hAnsi="Roboto" w:cs="Roboto"/>
                <w:sz w:val="22"/>
                <w:szCs w:val="32"/>
              </w:rPr>
              <w:t>0.0050%</w:t>
            </w:r>
          </w:p>
        </w:tc>
        <w:tc>
          <w:tcPr>
            <w:tcW w:w="4353" w:type="dxa"/>
          </w:tcPr>
          <w:p w:rsidR="00BE2F77" w:rsidRPr="00EC7E02" w:rsidRDefault="00BE2F77" w:rsidP="006144F1">
            <w:pPr>
              <w:pStyle w:val="Default"/>
              <w:rPr>
                <w:rFonts w:ascii="Roboto" w:hAnsi="Roboto" w:cs="Roboto"/>
                <w:sz w:val="22"/>
                <w:szCs w:val="32"/>
              </w:rPr>
            </w:pPr>
            <w:r w:rsidRPr="00EC7E02">
              <w:rPr>
                <w:rFonts w:ascii="Roboto" w:hAnsi="Roboto" w:cs="Roboto"/>
                <w:sz w:val="22"/>
                <w:szCs w:val="32"/>
              </w:rPr>
              <w:t>0.0004%</w:t>
            </w:r>
          </w:p>
        </w:tc>
      </w:tr>
    </w:tbl>
    <w:p w:rsidR="00BE2F77" w:rsidRPr="00AA1145" w:rsidRDefault="00BE2F77" w:rsidP="00BE2F77">
      <w:pPr>
        <w:autoSpaceDE w:val="0"/>
        <w:autoSpaceDN w:val="0"/>
        <w:adjustRightInd w:val="0"/>
        <w:jc w:val="left"/>
        <w:rPr>
          <w:rFonts w:ascii="Roboto" w:hAnsi="Roboto" w:cs="Roboto"/>
          <w:color w:val="000000"/>
          <w:kern w:val="0"/>
          <w:sz w:val="24"/>
          <w:szCs w:val="24"/>
        </w:rPr>
      </w:pPr>
    </w:p>
    <w:p w:rsidR="00BE2F77" w:rsidRPr="00AA1145" w:rsidRDefault="00BE2F77" w:rsidP="00BE2F77">
      <w:pPr>
        <w:pStyle w:val="Default"/>
        <w:contextualSpacing/>
        <w:rPr>
          <w:rFonts w:ascii="KaiTi" w:eastAsia="KaiTi" w:hAnsi="KaiTi"/>
        </w:rPr>
      </w:pPr>
      <w:r>
        <w:rPr>
          <w:rFonts w:ascii="KaiTi" w:eastAsia="KaiTi" w:hAnsi="KaiTi" w:hint="eastAsia"/>
        </w:rPr>
        <w:t>-</w:t>
      </w:r>
      <w:r w:rsidRPr="00AA1145">
        <w:rPr>
          <w:rFonts w:ascii="KaiTi" w:eastAsia="KaiTi" w:hAnsi="KaiTi"/>
        </w:rPr>
        <w:t xml:space="preserve">LC/MSD </w:t>
      </w:r>
      <w:proofErr w:type="spellStart"/>
      <w:r w:rsidRPr="00AA1145">
        <w:rPr>
          <w:rFonts w:ascii="KaiTi" w:eastAsia="KaiTi" w:hAnsi="KaiTi"/>
        </w:rPr>
        <w:t>iQ</w:t>
      </w:r>
      <w:proofErr w:type="spellEnd"/>
      <w:r w:rsidRPr="00AA1145">
        <w:rPr>
          <w:rFonts w:ascii="KaiTi" w:eastAsia="KaiTi" w:hAnsi="KaiTi" w:hint="eastAsia"/>
        </w:rPr>
        <w:t>能够检出含量在</w:t>
      </w:r>
      <w:r w:rsidRPr="00AA1145">
        <w:rPr>
          <w:rFonts w:ascii="KaiTi" w:eastAsia="KaiTi" w:hAnsi="KaiTi"/>
        </w:rPr>
        <w:t xml:space="preserve">API </w:t>
      </w:r>
      <w:r w:rsidRPr="00AA1145">
        <w:rPr>
          <w:rFonts w:ascii="KaiTi" w:eastAsia="KaiTi" w:hAnsi="KaiTi" w:hint="eastAsia"/>
        </w:rPr>
        <w:t>远远低于</w:t>
      </w:r>
      <w:r w:rsidRPr="00AA1145">
        <w:rPr>
          <w:rFonts w:ascii="KaiTi" w:eastAsia="KaiTi" w:hAnsi="KaiTi"/>
        </w:rPr>
        <w:t>0.1%</w:t>
      </w:r>
      <w:r w:rsidRPr="00AA1145">
        <w:rPr>
          <w:rFonts w:ascii="KaiTi" w:eastAsia="KaiTi" w:hAnsi="KaiTi" w:hint="eastAsia"/>
        </w:rPr>
        <w:t>的痕量杂质</w:t>
      </w:r>
    </w:p>
    <w:p w:rsidR="00BE2F77" w:rsidRPr="00AA1145" w:rsidRDefault="00BE2F77" w:rsidP="00BE2F77">
      <w:pPr>
        <w:pStyle w:val="Default"/>
        <w:contextualSpacing/>
        <w:rPr>
          <w:rFonts w:ascii="KaiTi" w:eastAsia="KaiTi" w:hAnsi="KaiTi"/>
        </w:rPr>
      </w:pPr>
      <w:r>
        <w:rPr>
          <w:rFonts w:hAnsi="微软雅黑" w:hint="eastAsia"/>
        </w:rPr>
        <w:t>-</w:t>
      </w:r>
      <w:r w:rsidRPr="00AA1145">
        <w:rPr>
          <w:rFonts w:ascii="KaiTi" w:eastAsia="KaiTi" w:hAnsi="KaiTi" w:hint="eastAsia"/>
        </w:rPr>
        <w:t>品牌药和仿制药的杂质浓度之间的确存在差异</w:t>
      </w:r>
    </w:p>
    <w:p w:rsidR="00CF5D37" w:rsidRPr="00BE2F77" w:rsidRDefault="00CF5D37">
      <w:bookmarkStart w:id="0" w:name="_GoBack"/>
      <w:bookmarkEnd w:id="0"/>
    </w:p>
    <w:sectPr w:rsidR="00CF5D37" w:rsidRPr="00BE2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77"/>
    <w:rsid w:val="00BE2F77"/>
    <w:rsid w:val="00C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C56EC-80FB-4546-B044-F584B5EA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F77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cyz</dc:creator>
  <cp:keywords/>
  <dc:description/>
  <cp:lastModifiedBy>cyz</cp:lastModifiedBy>
  <cp:revision>1</cp:revision>
  <dcterms:created xsi:type="dcterms:W3CDTF">2019-10-16T16:06:00Z</dcterms:created>
  <dcterms:modified xsi:type="dcterms:W3CDTF">2019-10-16T16:07:00Z</dcterms:modified>
</cp:coreProperties>
</file>