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jc w:val="left"/>
        <w:rPr>
          <w:rFonts w:hint="eastAsia" w:ascii="黑体" w:hAnsi="黑体" w:eastAsia="黑体" w:cs="黑体"/>
          <w:bCs/>
          <w:color w:val="000000"/>
          <w:szCs w:val="32"/>
          <w:lang w:val="en-US" w:eastAsia="zh-CN"/>
        </w:rPr>
      </w:pPr>
      <w:r>
        <w:rPr>
          <w:rFonts w:hint="eastAsia" w:ascii="黑体" w:hAnsi="黑体" w:eastAsia="黑体" w:cs="黑体"/>
          <w:bCs/>
          <w:color w:val="000000"/>
          <w:szCs w:val="32"/>
        </w:rPr>
        <w:t>附件</w:t>
      </w:r>
      <w:r>
        <w:rPr>
          <w:rFonts w:hint="eastAsia" w:ascii="黑体" w:hAnsi="黑体" w:eastAsia="黑体" w:cs="黑体"/>
          <w:bCs/>
          <w:color w:val="000000"/>
          <w:szCs w:val="32"/>
          <w:lang w:val="en-US" w:eastAsia="zh-CN"/>
        </w:rPr>
        <w:t>1</w:t>
      </w:r>
    </w:p>
    <w:p>
      <w:pPr>
        <w:pStyle w:val="6"/>
        <w:spacing w:line="240" w:lineRule="auto"/>
        <w:jc w:val="center"/>
        <w:rPr>
          <w:rFonts w:hint="eastAsia" w:ascii="黑体" w:hAnsi="黑体" w:eastAsia="黑体" w:cs="黑体"/>
          <w:bCs/>
          <w:color w:val="000000"/>
          <w:szCs w:val="32"/>
        </w:rPr>
      </w:pPr>
    </w:p>
    <w:p>
      <w:pPr>
        <w:spacing w:line="560" w:lineRule="exact"/>
        <w:ind w:firstLine="880"/>
        <w:jc w:val="center"/>
        <w:rPr>
          <w:rFonts w:ascii="方正小标宋简体" w:hAnsi="Arial" w:eastAsia="方正小标宋简体" w:cs="Arial"/>
          <w:color w:val="000000"/>
          <w:sz w:val="44"/>
          <w:szCs w:val="44"/>
        </w:rPr>
      </w:pPr>
      <w:bookmarkStart w:id="0" w:name="_GoBack"/>
      <w:r>
        <w:rPr>
          <w:rFonts w:hint="eastAsia" w:ascii="方正小标宋简体" w:hAnsi="黑体" w:eastAsia="方正小标宋简体" w:cs="Arial"/>
          <w:color w:val="000000"/>
          <w:sz w:val="44"/>
          <w:szCs w:val="44"/>
        </w:rPr>
        <w:t>中国检验检测</w:t>
      </w:r>
      <w:r>
        <w:rPr>
          <w:rFonts w:hint="eastAsia" w:ascii="方正小标宋简体" w:hAnsi="Arial" w:eastAsia="方正小标宋简体" w:cs="Arial"/>
          <w:color w:val="000000"/>
          <w:sz w:val="44"/>
          <w:szCs w:val="44"/>
        </w:rPr>
        <w:t>学会青年人才托举工程</w:t>
      </w:r>
    </w:p>
    <w:p>
      <w:pPr>
        <w:spacing w:line="560" w:lineRule="exact"/>
        <w:ind w:firstLine="880"/>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管理办法</w:t>
      </w:r>
    </w:p>
    <w:bookmarkEnd w:id="0"/>
    <w:p>
      <w:pPr>
        <w:spacing w:line="550" w:lineRule="exact"/>
        <w:ind w:firstLine="800"/>
        <w:rPr>
          <w:rFonts w:ascii="小标宋" w:hAnsi="Arial" w:eastAsia="小标宋" w:cs="Arial"/>
          <w:color w:val="000000"/>
          <w:sz w:val="40"/>
          <w:szCs w:val="40"/>
        </w:rPr>
      </w:pPr>
    </w:p>
    <w:p>
      <w:pPr>
        <w:spacing w:line="550" w:lineRule="exact"/>
        <w:ind w:firstLine="640"/>
        <w:jc w:val="center"/>
        <w:rPr>
          <w:rFonts w:ascii="Arial" w:hAnsi="Arial" w:cs="Arial"/>
          <w:color w:val="000000"/>
          <w:sz w:val="18"/>
          <w:szCs w:val="18"/>
        </w:rPr>
      </w:pPr>
      <w:r>
        <w:rPr>
          <w:rFonts w:hint="eastAsia" w:ascii="黑体" w:hAnsi="黑体" w:eastAsia="黑体" w:cs="Arial"/>
          <w:color w:val="000000"/>
          <w:szCs w:val="32"/>
        </w:rPr>
        <w:t>第一章</w:t>
      </w:r>
      <w:r>
        <w:rPr>
          <w:rFonts w:hint="eastAsia" w:ascii="宋体" w:hAnsi="宋体" w:eastAsia="宋体" w:cs="宋体"/>
          <w:color w:val="000000"/>
          <w:szCs w:val="32"/>
        </w:rPr>
        <w:t>  </w:t>
      </w:r>
      <w:r>
        <w:rPr>
          <w:rFonts w:hint="eastAsia" w:ascii="黑体" w:hAnsi="黑体" w:eastAsia="黑体" w:cs="Arial"/>
          <w:color w:val="000000"/>
          <w:szCs w:val="32"/>
        </w:rPr>
        <w:t>总则</w:t>
      </w:r>
    </w:p>
    <w:p>
      <w:pPr>
        <w:spacing w:line="550" w:lineRule="exact"/>
        <w:ind w:firstLine="643"/>
        <w:rPr>
          <w:rFonts w:hAnsi="Arial" w:cs="Arial"/>
          <w:color w:val="000000"/>
          <w:szCs w:val="32"/>
        </w:rPr>
      </w:pPr>
      <w:r>
        <w:rPr>
          <w:rFonts w:hint="eastAsia" w:hAnsi="Arial" w:cs="Arial"/>
          <w:b/>
          <w:color w:val="000000"/>
          <w:szCs w:val="32"/>
        </w:rPr>
        <w:t>第一条</w:t>
      </w:r>
      <w:r>
        <w:rPr>
          <w:rFonts w:hint="eastAsia" w:hAnsi="Arial" w:cs="Arial"/>
          <w:color w:val="000000"/>
          <w:szCs w:val="32"/>
        </w:rPr>
        <w:t xml:space="preserve">  为做好中国检验检测学会（以下简称“学会”）组织开展中国科协青年人才托举工程项目实施工作，根据中国科协办公厅印发的《中国科协青年人才托举工程管理办法》（科协办发学字〔2017〕13号）和《中国科协青年人才托举工程实施管理细则（修订）》（科协办函学字〔2021〕30号）等文件规定，结合学会实际情况，制定本办法。</w:t>
      </w:r>
    </w:p>
    <w:p>
      <w:pPr>
        <w:spacing w:line="550" w:lineRule="exact"/>
        <w:ind w:firstLine="643"/>
        <w:rPr>
          <w:rFonts w:hAnsi="Arial" w:cs="Arial"/>
          <w:color w:val="000000"/>
          <w:szCs w:val="32"/>
        </w:rPr>
      </w:pPr>
      <w:r>
        <w:rPr>
          <w:rFonts w:hint="eastAsia" w:hAnsi="Arial" w:cs="Arial"/>
          <w:b/>
          <w:color w:val="000000"/>
          <w:szCs w:val="32"/>
        </w:rPr>
        <w:t>第二条</w:t>
      </w:r>
      <w:r>
        <w:rPr>
          <w:rFonts w:hint="eastAsia" w:hAnsi="Arial" w:cs="Arial"/>
          <w:color w:val="000000"/>
          <w:szCs w:val="32"/>
        </w:rPr>
        <w:t xml:space="preserve">  在中国科协指导下的青年人才托举工程项目（以下简称“青托项目”），旨在培养一批思想政治素质高、检验检测领域具有创新精神的优秀青年科技骨干，逐步形成青年科技专家群体，为国家高层次创新型科技人才队伍建设的核心后备力量做出贡献。</w:t>
      </w:r>
    </w:p>
    <w:p>
      <w:pPr>
        <w:spacing w:line="550" w:lineRule="exact"/>
        <w:ind w:firstLine="640"/>
        <w:rPr>
          <w:rFonts w:ascii="黑体" w:hAnsi="黑体" w:eastAsia="黑体" w:cs="Arial"/>
          <w:color w:val="000000"/>
          <w:szCs w:val="32"/>
          <w:highlight w:val="lightGray"/>
        </w:rPr>
      </w:pPr>
    </w:p>
    <w:p>
      <w:pPr>
        <w:spacing w:line="550" w:lineRule="exact"/>
        <w:ind w:firstLine="640"/>
        <w:jc w:val="center"/>
        <w:rPr>
          <w:rFonts w:ascii="Arial" w:hAnsi="Arial" w:cs="Arial"/>
          <w:color w:val="000000"/>
          <w:sz w:val="18"/>
          <w:szCs w:val="18"/>
        </w:rPr>
      </w:pPr>
      <w:r>
        <w:rPr>
          <w:rFonts w:hint="eastAsia" w:ascii="黑体" w:hAnsi="黑体" w:eastAsia="黑体" w:cs="Arial"/>
          <w:color w:val="000000"/>
          <w:szCs w:val="32"/>
        </w:rPr>
        <w:t>第二章</w:t>
      </w:r>
      <w:r>
        <w:rPr>
          <w:rFonts w:hint="eastAsia" w:ascii="宋体" w:hAnsi="宋体" w:eastAsia="宋体" w:cs="宋体"/>
          <w:color w:val="000000"/>
          <w:szCs w:val="32"/>
        </w:rPr>
        <w:t>  </w:t>
      </w:r>
      <w:r>
        <w:rPr>
          <w:rFonts w:hint="eastAsia" w:ascii="黑体" w:hAnsi="黑体" w:eastAsia="黑体" w:cs="Arial"/>
          <w:color w:val="000000"/>
          <w:szCs w:val="32"/>
        </w:rPr>
        <w:t>遴选条件</w:t>
      </w:r>
    </w:p>
    <w:p>
      <w:pPr>
        <w:snapToGrid w:val="0"/>
        <w:spacing w:line="550" w:lineRule="exact"/>
        <w:ind w:firstLine="643"/>
        <w:rPr>
          <w:rFonts w:hAnsi="Arial" w:cs="Arial"/>
          <w:color w:val="000000"/>
          <w:szCs w:val="32"/>
        </w:rPr>
      </w:pPr>
      <w:r>
        <w:rPr>
          <w:rFonts w:hint="eastAsia" w:hAnsi="Arial" w:cs="Arial"/>
          <w:b/>
          <w:bCs/>
          <w:color w:val="000000"/>
          <w:szCs w:val="32"/>
        </w:rPr>
        <w:t xml:space="preserve">第三条  </w:t>
      </w:r>
      <w:r>
        <w:rPr>
          <w:rFonts w:hint="eastAsia" w:hAnsi="Arial" w:cs="Arial"/>
          <w:color w:val="000000"/>
          <w:szCs w:val="32"/>
        </w:rPr>
        <w:t>被托举人推荐条件</w:t>
      </w:r>
    </w:p>
    <w:p>
      <w:pPr>
        <w:snapToGrid w:val="0"/>
        <w:spacing w:line="550" w:lineRule="exact"/>
        <w:ind w:firstLine="640"/>
        <w:rPr>
          <w:color w:val="000000"/>
          <w:szCs w:val="32"/>
        </w:rPr>
      </w:pPr>
      <w:r>
        <w:rPr>
          <w:rFonts w:hint="eastAsia"/>
          <w:color w:val="000000"/>
          <w:szCs w:val="32"/>
        </w:rPr>
        <w:t>（一）政治立场坚定，热爱祖国；</w:t>
      </w:r>
      <w:r>
        <w:rPr>
          <w:rFonts w:hint="eastAsia" w:hAnsi="仿宋"/>
          <w:szCs w:val="32"/>
        </w:rPr>
        <w:t>具有创新、求实、协作、奉献的科学精神和优秀的学风道德</w:t>
      </w:r>
      <w:r>
        <w:rPr>
          <w:rFonts w:hint="eastAsia"/>
          <w:color w:val="000000"/>
          <w:szCs w:val="32"/>
        </w:rPr>
        <w:t>；</w:t>
      </w:r>
      <w:r>
        <w:rPr>
          <w:rFonts w:hint="eastAsia" w:hAnsi="仿宋"/>
          <w:szCs w:val="32"/>
        </w:rPr>
        <w:t>具有坚实的理论基础、较强的创新能力、良好的科研潜质</w:t>
      </w:r>
      <w:r>
        <w:rPr>
          <w:rFonts w:hint="eastAsia"/>
          <w:color w:val="000000"/>
          <w:szCs w:val="32"/>
        </w:rPr>
        <w:t>；</w:t>
      </w:r>
    </w:p>
    <w:p>
      <w:pPr>
        <w:snapToGrid w:val="0"/>
        <w:spacing w:line="550" w:lineRule="exact"/>
        <w:ind w:firstLine="640"/>
        <w:rPr>
          <w:rFonts w:hAnsi="仿宋"/>
          <w:szCs w:val="32"/>
        </w:rPr>
      </w:pPr>
      <w:r>
        <w:rPr>
          <w:rFonts w:hint="eastAsia"/>
          <w:color w:val="000000"/>
          <w:szCs w:val="32"/>
        </w:rPr>
        <w:t>（二）年龄原则上</w:t>
      </w:r>
      <w:r>
        <w:rPr>
          <w:rFonts w:hint="eastAsia" w:hAnsi="仿宋"/>
          <w:szCs w:val="32"/>
        </w:rPr>
        <w:t>32周岁以下，身体健康；</w:t>
      </w:r>
    </w:p>
    <w:p>
      <w:pPr>
        <w:snapToGrid w:val="0"/>
        <w:spacing w:line="550" w:lineRule="exact"/>
        <w:ind w:firstLine="640"/>
        <w:rPr>
          <w:rFonts w:hAnsi="仿宋"/>
          <w:szCs w:val="32"/>
        </w:rPr>
      </w:pPr>
      <w:r>
        <w:rPr>
          <w:rFonts w:hint="eastAsia"/>
          <w:color w:val="000000"/>
          <w:szCs w:val="32"/>
        </w:rPr>
        <w:t>（三）</w:t>
      </w:r>
      <w:r>
        <w:rPr>
          <w:rFonts w:hint="eastAsia" w:hAnsi="仿宋"/>
          <w:szCs w:val="32"/>
        </w:rPr>
        <w:t>在中华人民共和国境内工作的中国籍公民；</w:t>
      </w:r>
    </w:p>
    <w:p>
      <w:pPr>
        <w:snapToGrid w:val="0"/>
        <w:spacing w:line="550" w:lineRule="exact"/>
        <w:ind w:firstLine="640"/>
        <w:rPr>
          <w:rFonts w:hAnsi="仿宋"/>
          <w:szCs w:val="32"/>
        </w:rPr>
      </w:pPr>
      <w:r>
        <w:rPr>
          <w:rFonts w:hint="eastAsia" w:hAnsi="仿宋"/>
          <w:szCs w:val="32"/>
        </w:rPr>
        <w:t>（四）在检验检测学科领域潜心工作的一线科研人员；</w:t>
      </w:r>
    </w:p>
    <w:p>
      <w:pPr>
        <w:snapToGrid w:val="0"/>
        <w:spacing w:line="550" w:lineRule="exact"/>
        <w:ind w:firstLine="640"/>
        <w:rPr>
          <w:rFonts w:hAnsi="仿宋"/>
          <w:szCs w:val="32"/>
        </w:rPr>
      </w:pPr>
      <w:r>
        <w:rPr>
          <w:rFonts w:hint="eastAsia" w:hAnsi="仿宋"/>
          <w:szCs w:val="32"/>
        </w:rPr>
        <w:t>（五）同等条件下，以下人才可优先入选：所在单位有良好的科研平台和条件，有相关配套经费以及工作基础的人才；参与重大项目，或拥有重大发明专利、新技术的人才等。</w:t>
      </w:r>
    </w:p>
    <w:p>
      <w:pPr>
        <w:spacing w:line="550" w:lineRule="exact"/>
        <w:ind w:firstLine="643"/>
        <w:rPr>
          <w:rFonts w:hAnsi="Arial" w:cs="Arial"/>
          <w:color w:val="000000"/>
          <w:spacing w:val="-4"/>
          <w:szCs w:val="32"/>
        </w:rPr>
      </w:pPr>
      <w:r>
        <w:rPr>
          <w:rFonts w:hint="eastAsia" w:hAnsi="Arial" w:cs="Arial"/>
          <w:b/>
          <w:bCs/>
          <w:color w:val="000000"/>
          <w:szCs w:val="32"/>
        </w:rPr>
        <w:t xml:space="preserve">第四条  </w:t>
      </w:r>
      <w:r>
        <w:rPr>
          <w:rFonts w:hint="eastAsia" w:hAnsi="Arial" w:cs="Arial"/>
          <w:color w:val="000000"/>
          <w:szCs w:val="32"/>
        </w:rPr>
        <w:t>每名候选人应由不少于3 位同行专家同意推荐，</w:t>
      </w:r>
      <w:r>
        <w:rPr>
          <w:rFonts w:hint="eastAsia" w:hAnsi="Arial" w:cs="Arial"/>
          <w:color w:val="000000"/>
          <w:spacing w:val="-4"/>
          <w:szCs w:val="32"/>
        </w:rPr>
        <w:t>其中至少2</w:t>
      </w:r>
      <w:r>
        <w:rPr>
          <w:rFonts w:hint="eastAsia" w:hAnsi="Arial" w:cs="Arial"/>
          <w:color w:val="000000"/>
          <w:szCs w:val="32"/>
        </w:rPr>
        <w:t>位</w:t>
      </w:r>
      <w:r>
        <w:rPr>
          <w:rFonts w:hint="eastAsia" w:hAnsi="Arial" w:cs="Arial"/>
          <w:color w:val="000000"/>
          <w:spacing w:val="-4"/>
          <w:szCs w:val="32"/>
        </w:rPr>
        <w:t>专家与被托举人具有相同研究领域，至少1位专家承担指导、托举责任。</w:t>
      </w:r>
    </w:p>
    <w:p>
      <w:pPr>
        <w:spacing w:line="550" w:lineRule="exact"/>
        <w:ind w:firstLine="624"/>
        <w:rPr>
          <w:rFonts w:hAnsi="Arial" w:cs="Arial"/>
          <w:color w:val="000000"/>
          <w:spacing w:val="-4"/>
          <w:szCs w:val="32"/>
        </w:rPr>
      </w:pPr>
    </w:p>
    <w:p>
      <w:pPr>
        <w:spacing w:line="550" w:lineRule="exact"/>
        <w:ind w:firstLine="640"/>
        <w:jc w:val="center"/>
        <w:rPr>
          <w:rFonts w:ascii="宋体" w:hAnsi="宋体" w:eastAsia="宋体" w:cs="宋体"/>
          <w:color w:val="000000"/>
          <w:szCs w:val="32"/>
        </w:rPr>
      </w:pPr>
      <w:r>
        <w:rPr>
          <w:rFonts w:hint="eastAsia" w:ascii="黑体" w:hAnsi="黑体" w:eastAsia="黑体" w:cs="Arial"/>
          <w:color w:val="000000"/>
          <w:szCs w:val="32"/>
        </w:rPr>
        <w:t>第三章  遴选程序及组织机构职责</w:t>
      </w:r>
    </w:p>
    <w:p>
      <w:pPr>
        <w:spacing w:line="550" w:lineRule="exact"/>
        <w:ind w:firstLine="627"/>
        <w:rPr>
          <w:rFonts w:hAnsi="Arial" w:cs="Arial"/>
          <w:color w:val="000000"/>
          <w:spacing w:val="-4"/>
          <w:szCs w:val="32"/>
        </w:rPr>
      </w:pPr>
      <w:r>
        <w:rPr>
          <w:rFonts w:hint="eastAsia" w:hAnsi="Arial" w:cs="Arial"/>
          <w:b/>
          <w:color w:val="000000"/>
          <w:spacing w:val="-4"/>
          <w:szCs w:val="32"/>
        </w:rPr>
        <w:t xml:space="preserve">第五条  </w:t>
      </w:r>
      <w:r>
        <w:rPr>
          <w:rFonts w:hint="eastAsia" w:hAnsi="Arial" w:cs="Arial"/>
          <w:color w:val="000000"/>
          <w:spacing w:val="-4"/>
          <w:szCs w:val="32"/>
        </w:rPr>
        <w:t>学会青年人才托举工程遴选程序。</w:t>
      </w:r>
    </w:p>
    <w:p>
      <w:pPr>
        <w:spacing w:line="550" w:lineRule="exact"/>
        <w:ind w:firstLine="624"/>
        <w:rPr>
          <w:rFonts w:hAnsi="Arial" w:cs="Arial"/>
          <w:color w:val="000000"/>
          <w:spacing w:val="-4"/>
          <w:szCs w:val="32"/>
        </w:rPr>
      </w:pPr>
      <w:r>
        <w:rPr>
          <w:rFonts w:hint="eastAsia" w:hAnsi="Arial" w:cs="Arial"/>
          <w:color w:val="000000"/>
          <w:spacing w:val="-4"/>
          <w:szCs w:val="32"/>
        </w:rPr>
        <w:t>（一）通过学会官方网站、微信公众号等平台信息发布申报通知；</w:t>
      </w:r>
    </w:p>
    <w:p>
      <w:pPr>
        <w:spacing w:line="550" w:lineRule="exact"/>
        <w:ind w:firstLine="624"/>
        <w:rPr>
          <w:rFonts w:hAnsi="Arial" w:cs="Arial"/>
          <w:color w:val="000000"/>
          <w:spacing w:val="-4"/>
          <w:szCs w:val="32"/>
        </w:rPr>
      </w:pPr>
      <w:r>
        <w:rPr>
          <w:rFonts w:hint="eastAsia" w:hAnsi="Arial" w:cs="Arial"/>
          <w:color w:val="000000"/>
          <w:spacing w:val="-4"/>
          <w:szCs w:val="32"/>
        </w:rPr>
        <w:t>（二）候选人填写《中国检验检测学会青年人才托举工程申报表》，由所在单位推荐或推荐人签章，报送学会；</w:t>
      </w:r>
    </w:p>
    <w:p>
      <w:pPr>
        <w:spacing w:line="550" w:lineRule="exact"/>
        <w:ind w:firstLine="624"/>
        <w:rPr>
          <w:rFonts w:hAnsi="Arial" w:cs="Arial"/>
          <w:color w:val="000000"/>
          <w:spacing w:val="-4"/>
          <w:szCs w:val="32"/>
        </w:rPr>
      </w:pPr>
      <w:r>
        <w:rPr>
          <w:rFonts w:hint="eastAsia" w:hAnsi="Arial" w:cs="Arial"/>
          <w:color w:val="000000"/>
          <w:spacing w:val="-4"/>
          <w:szCs w:val="32"/>
        </w:rPr>
        <w:t>（三）</w:t>
      </w:r>
      <w:r>
        <w:rPr>
          <w:rFonts w:hAnsi="Arial" w:cs="Arial"/>
          <w:color w:val="000000"/>
          <w:spacing w:val="-4"/>
          <w:szCs w:val="32"/>
        </w:rPr>
        <w:t>成立</w:t>
      </w:r>
      <w:r>
        <w:rPr>
          <w:rFonts w:hint="eastAsia" w:hAnsi="Arial" w:cs="Arial"/>
          <w:color w:val="000000"/>
          <w:spacing w:val="-4"/>
          <w:szCs w:val="32"/>
        </w:rPr>
        <w:t>评审小组</w:t>
      </w:r>
      <w:r>
        <w:rPr>
          <w:rFonts w:hAnsi="Arial" w:cs="Arial"/>
          <w:color w:val="000000"/>
          <w:spacing w:val="-4"/>
          <w:szCs w:val="32"/>
        </w:rPr>
        <w:t>，对选候选人进行综合打分评选，根据排名进行筛选；</w:t>
      </w:r>
    </w:p>
    <w:p>
      <w:pPr>
        <w:spacing w:line="550" w:lineRule="exact"/>
        <w:ind w:firstLine="624"/>
        <w:rPr>
          <w:rFonts w:hAnsi="Arial" w:cs="Arial"/>
          <w:color w:val="000000"/>
          <w:spacing w:val="-4"/>
          <w:szCs w:val="32"/>
        </w:rPr>
      </w:pPr>
      <w:r>
        <w:rPr>
          <w:rFonts w:hint="eastAsia" w:hAnsi="Arial" w:cs="Arial"/>
          <w:color w:val="000000"/>
          <w:spacing w:val="-4"/>
          <w:szCs w:val="32"/>
        </w:rPr>
        <w:t>（四）公示后，确定青托项目最终推荐人，并报中国科协审核确认。</w:t>
      </w:r>
    </w:p>
    <w:p>
      <w:pPr>
        <w:spacing w:line="550" w:lineRule="exact"/>
        <w:ind w:firstLine="643"/>
        <w:rPr>
          <w:rFonts w:hAnsi="Arial" w:cs="Arial"/>
          <w:b/>
          <w:color w:val="000000"/>
          <w:szCs w:val="32"/>
        </w:rPr>
      </w:pPr>
      <w:r>
        <w:rPr>
          <w:rFonts w:hint="eastAsia" w:hAnsi="Arial" w:cs="Arial"/>
          <w:b/>
          <w:color w:val="000000"/>
          <w:szCs w:val="32"/>
        </w:rPr>
        <w:t xml:space="preserve">第六条  </w:t>
      </w:r>
      <w:r>
        <w:rPr>
          <w:rFonts w:hint="eastAsia" w:hAnsi="Arial" w:cs="Arial"/>
          <w:color w:val="000000"/>
          <w:szCs w:val="32"/>
        </w:rPr>
        <w:t>学会严格加强项目的管理，成立领导小组、评审小组、工作小组组成的项目组。其中，领导小组由学会主要负责人担任，负责指导协调工作。</w:t>
      </w:r>
    </w:p>
    <w:p>
      <w:pPr>
        <w:spacing w:line="550" w:lineRule="exact"/>
        <w:ind w:firstLine="643"/>
        <w:rPr>
          <w:rFonts w:ascii="Arial" w:hAnsi="Arial" w:cs="Arial"/>
          <w:color w:val="000000"/>
          <w:sz w:val="18"/>
          <w:szCs w:val="18"/>
        </w:rPr>
      </w:pPr>
      <w:r>
        <w:rPr>
          <w:rFonts w:hint="eastAsia" w:hAnsi="Arial" w:cs="Arial"/>
          <w:b/>
          <w:bCs/>
          <w:color w:val="000000"/>
          <w:szCs w:val="32"/>
        </w:rPr>
        <w:t xml:space="preserve">第七条  </w:t>
      </w:r>
      <w:r>
        <w:rPr>
          <w:rFonts w:hint="eastAsia" w:hAnsi="Arial" w:cs="Arial"/>
          <w:color w:val="000000"/>
          <w:szCs w:val="32"/>
        </w:rPr>
        <w:t>工作小组负责汇总形式审查候选人材料，将通过形式审查的申请材料通报领导小组，领导小组授权根据候选人专业背景组织评审小组，评审专家不少于9人，均应为检验检测学科领域内权威专家，有一定数量的院士和国家级人才计划入选者。工作小组协助评审小组工作。</w:t>
      </w:r>
    </w:p>
    <w:p>
      <w:pPr>
        <w:spacing w:line="550" w:lineRule="exact"/>
        <w:ind w:firstLine="643"/>
        <w:rPr>
          <w:rFonts w:hAnsi="Arial" w:cs="Arial"/>
          <w:color w:val="000000"/>
          <w:szCs w:val="32"/>
        </w:rPr>
      </w:pPr>
      <w:r>
        <w:rPr>
          <w:rFonts w:hint="eastAsia" w:hAnsi="Arial" w:cs="Arial"/>
          <w:b/>
          <w:bCs/>
          <w:color w:val="000000"/>
          <w:szCs w:val="32"/>
        </w:rPr>
        <w:t xml:space="preserve">第八条  </w:t>
      </w:r>
      <w:r>
        <w:rPr>
          <w:rFonts w:hint="eastAsia" w:hAnsi="Arial" w:cs="Arial"/>
          <w:color w:val="000000"/>
          <w:spacing w:val="6"/>
          <w:szCs w:val="32"/>
        </w:rPr>
        <w:t>评审小组</w:t>
      </w:r>
      <w:r>
        <w:rPr>
          <w:rFonts w:hint="eastAsia" w:hAnsi="Arial" w:cs="Arial"/>
          <w:color w:val="000000"/>
          <w:szCs w:val="32"/>
        </w:rPr>
        <w:t>通过打分、无记名投票方式候选人材料进行会议评审。若无法进行现场评审，可灵活利用网络采用线上形式进行。</w:t>
      </w:r>
    </w:p>
    <w:p>
      <w:pPr>
        <w:spacing w:line="550" w:lineRule="exact"/>
        <w:ind w:firstLine="360"/>
        <w:rPr>
          <w:rFonts w:ascii="Arial" w:hAnsi="Arial" w:cs="Arial"/>
          <w:color w:val="000000"/>
          <w:sz w:val="18"/>
          <w:szCs w:val="18"/>
        </w:rPr>
      </w:pPr>
    </w:p>
    <w:p>
      <w:pPr>
        <w:spacing w:line="550" w:lineRule="exact"/>
        <w:ind w:firstLine="640"/>
        <w:jc w:val="center"/>
        <w:rPr>
          <w:rFonts w:ascii="Arial" w:hAnsi="Arial" w:cs="Arial"/>
          <w:color w:val="000000"/>
          <w:sz w:val="18"/>
          <w:szCs w:val="18"/>
        </w:rPr>
      </w:pPr>
      <w:r>
        <w:rPr>
          <w:rFonts w:hint="eastAsia" w:ascii="黑体" w:hAnsi="黑体" w:eastAsia="黑体" w:cs="Arial"/>
          <w:color w:val="000000"/>
          <w:szCs w:val="32"/>
        </w:rPr>
        <w:t>第四章</w:t>
      </w:r>
      <w:r>
        <w:rPr>
          <w:rFonts w:hint="eastAsia" w:ascii="宋体" w:hAnsi="宋体" w:eastAsia="宋体" w:cs="宋体"/>
          <w:color w:val="000000"/>
          <w:szCs w:val="32"/>
        </w:rPr>
        <w:t>  </w:t>
      </w:r>
      <w:r>
        <w:rPr>
          <w:rFonts w:hint="eastAsia" w:ascii="黑体" w:hAnsi="黑体" w:eastAsia="黑体" w:cs="Arial"/>
          <w:color w:val="000000"/>
          <w:szCs w:val="32"/>
        </w:rPr>
        <w:t>立项与管理</w:t>
      </w:r>
    </w:p>
    <w:p>
      <w:pPr>
        <w:pStyle w:val="7"/>
        <w:spacing w:before="0" w:beforeAutospacing="0" w:after="0" w:afterAutospacing="0" w:line="550" w:lineRule="exact"/>
        <w:ind w:firstLine="667"/>
        <w:jc w:val="both"/>
        <w:rPr>
          <w:rFonts w:ascii="仿宋_GB2312" w:hAnsi="Arial" w:eastAsia="仿宋_GB2312" w:cs="Arial"/>
          <w:color w:val="000000"/>
          <w:spacing w:val="6"/>
          <w:sz w:val="32"/>
          <w:szCs w:val="32"/>
        </w:rPr>
      </w:pPr>
      <w:r>
        <w:rPr>
          <w:rFonts w:hint="eastAsia" w:ascii="仿宋_GB2312" w:hAnsi="Arial" w:eastAsia="仿宋_GB2312" w:cs="Arial"/>
          <w:b/>
          <w:bCs/>
          <w:color w:val="000000"/>
          <w:spacing w:val="6"/>
          <w:sz w:val="32"/>
          <w:szCs w:val="32"/>
        </w:rPr>
        <w:t xml:space="preserve">第九条  </w:t>
      </w:r>
      <w:r>
        <w:rPr>
          <w:rFonts w:hint="eastAsia" w:ascii="仿宋_GB2312" w:hAnsi="Arial" w:eastAsia="仿宋_GB2312" w:cs="Arial"/>
          <w:color w:val="000000"/>
          <w:spacing w:val="6"/>
          <w:sz w:val="32"/>
          <w:szCs w:val="32"/>
        </w:rPr>
        <w:t>获得中国科协批准立项的青托项目，学会与被托举人签署相应合同。</w:t>
      </w:r>
    </w:p>
    <w:p>
      <w:pPr>
        <w:pStyle w:val="7"/>
        <w:spacing w:before="0" w:beforeAutospacing="0" w:after="0" w:afterAutospacing="0" w:line="550" w:lineRule="exact"/>
        <w:ind w:firstLine="667"/>
        <w:jc w:val="both"/>
        <w:rPr>
          <w:rFonts w:ascii="Arial" w:hAnsi="Arial" w:cs="Arial"/>
          <w:color w:val="000000"/>
          <w:sz w:val="18"/>
          <w:szCs w:val="18"/>
        </w:rPr>
      </w:pPr>
      <w:r>
        <w:rPr>
          <w:rFonts w:hint="eastAsia" w:ascii="仿宋_GB2312" w:hAnsi="Arial" w:eastAsia="仿宋_GB2312" w:cs="Arial"/>
          <w:b/>
          <w:bCs/>
          <w:color w:val="000000"/>
          <w:spacing w:val="6"/>
          <w:sz w:val="32"/>
          <w:szCs w:val="32"/>
        </w:rPr>
        <w:t xml:space="preserve">第十条  </w:t>
      </w:r>
      <w:r>
        <w:rPr>
          <w:rFonts w:hint="eastAsia" w:ascii="仿宋_GB2312" w:hAnsi="Arial" w:eastAsia="仿宋_GB2312" w:cs="Arial"/>
          <w:color w:val="000000"/>
          <w:spacing w:val="6"/>
          <w:sz w:val="32"/>
          <w:szCs w:val="32"/>
        </w:rPr>
        <w:t>在学会领导小组的指导下，建立青年科技人才托举专家团队，由托举导师指导制定被托举人才培养计划并负责实施。学会根据</w:t>
      </w:r>
      <w:r>
        <w:rPr>
          <w:rFonts w:hint="eastAsia" w:ascii="仿宋_GB2312" w:hAnsi="Arial" w:eastAsia="仿宋_GB2312" w:cs="Arial"/>
          <w:color w:val="000000"/>
          <w:sz w:val="32"/>
          <w:szCs w:val="32"/>
        </w:rPr>
        <w:t>被托举人需求，协助托举导师开展指导工作</w:t>
      </w:r>
      <w:r>
        <w:rPr>
          <w:rFonts w:hint="eastAsia" w:ascii="仿宋_GB2312" w:hAnsi="Arial" w:eastAsia="仿宋_GB2312" w:cs="Arial"/>
          <w:color w:val="000000"/>
          <w:spacing w:val="6"/>
          <w:sz w:val="32"/>
          <w:szCs w:val="32"/>
        </w:rPr>
        <w:t>。</w:t>
      </w:r>
    </w:p>
    <w:p>
      <w:pPr>
        <w:pStyle w:val="7"/>
        <w:spacing w:before="0" w:beforeAutospacing="0" w:after="0" w:afterAutospacing="0" w:line="550" w:lineRule="exact"/>
        <w:ind w:firstLine="667"/>
        <w:jc w:val="both"/>
        <w:rPr>
          <w:rFonts w:ascii="仿宋_GB2312" w:hAnsi="Arial" w:eastAsia="仿宋_GB2312" w:cs="Arial"/>
          <w:color w:val="000000"/>
          <w:spacing w:val="6"/>
          <w:sz w:val="32"/>
          <w:szCs w:val="32"/>
        </w:rPr>
      </w:pPr>
      <w:r>
        <w:rPr>
          <w:rFonts w:hint="eastAsia" w:ascii="仿宋_GB2312" w:hAnsi="Arial" w:eastAsia="仿宋_GB2312" w:cs="Arial"/>
          <w:b/>
          <w:bCs/>
          <w:color w:val="000000"/>
          <w:spacing w:val="6"/>
          <w:sz w:val="32"/>
          <w:szCs w:val="32"/>
        </w:rPr>
        <w:t>第</w:t>
      </w:r>
      <w:r>
        <w:rPr>
          <w:rFonts w:hint="eastAsia" w:ascii="仿宋_GB2312" w:hAnsi="Arial" w:eastAsia="仿宋_GB2312" w:cs="Arial"/>
          <w:b/>
          <w:bCs/>
          <w:color w:val="000000"/>
          <w:sz w:val="32"/>
          <w:szCs w:val="32"/>
        </w:rPr>
        <w:t>十一</w:t>
      </w:r>
      <w:r>
        <w:rPr>
          <w:rFonts w:hint="eastAsia" w:ascii="仿宋_GB2312" w:hAnsi="Arial" w:eastAsia="仿宋_GB2312" w:cs="Arial"/>
          <w:b/>
          <w:bCs/>
          <w:color w:val="000000"/>
          <w:spacing w:val="6"/>
          <w:sz w:val="32"/>
          <w:szCs w:val="32"/>
        </w:rPr>
        <w:t xml:space="preserve">条  </w:t>
      </w:r>
      <w:r>
        <w:rPr>
          <w:rFonts w:hint="eastAsia" w:ascii="仿宋_GB2312" w:hAnsi="Arial" w:eastAsia="仿宋_GB2312" w:cs="Arial"/>
          <w:bCs/>
          <w:color w:val="000000"/>
          <w:spacing w:val="6"/>
          <w:sz w:val="32"/>
          <w:szCs w:val="32"/>
        </w:rPr>
        <w:t>学会为被托举人营造良好的学术生态环境，提高其自身综合素质。</w:t>
      </w:r>
      <w:r>
        <w:rPr>
          <w:rFonts w:hint="eastAsia" w:ascii="仿宋_GB2312" w:hAnsi="Arial" w:eastAsia="仿宋_GB2312" w:cs="Arial"/>
          <w:color w:val="000000"/>
          <w:sz w:val="32"/>
          <w:szCs w:val="32"/>
        </w:rPr>
        <w:t>鼓励并协助被托举人积极申请中国科协针对青年人才的各种项目，包括青年科学家论坛、各种双边、港澳台和国际学术交流活动。</w:t>
      </w:r>
      <w:r>
        <w:rPr>
          <w:rFonts w:hint="eastAsia" w:ascii="仿宋_GB2312" w:hAnsi="Arial" w:eastAsia="仿宋_GB2312" w:cs="Arial"/>
          <w:color w:val="000000"/>
          <w:spacing w:val="6"/>
          <w:sz w:val="32"/>
          <w:szCs w:val="32"/>
        </w:rPr>
        <w:t>鼓励被托举人更多地参与高水平国际学术交流，积极扶持他们在有影响的国际民间科技组织任职，培养具有国际视野的青年人才，扩展影响力。</w:t>
      </w:r>
    </w:p>
    <w:p>
      <w:pPr>
        <w:pStyle w:val="7"/>
        <w:spacing w:before="0" w:beforeAutospacing="0" w:after="0" w:afterAutospacing="0" w:line="550" w:lineRule="exact"/>
        <w:ind w:firstLine="643"/>
        <w:jc w:val="both"/>
        <w:rPr>
          <w:rFonts w:ascii="Arial" w:hAnsi="Arial" w:cs="Arial"/>
          <w:color w:val="000000"/>
          <w:sz w:val="18"/>
          <w:szCs w:val="18"/>
        </w:rPr>
      </w:pPr>
      <w:r>
        <w:rPr>
          <w:rFonts w:hint="eastAsia" w:ascii="仿宋_GB2312" w:hAnsi="Arial" w:eastAsia="仿宋_GB2312" w:cs="Arial"/>
          <w:b/>
          <w:bCs/>
          <w:color w:val="000000"/>
          <w:sz w:val="32"/>
          <w:szCs w:val="32"/>
        </w:rPr>
        <w:t xml:space="preserve">第十二条  </w:t>
      </w:r>
      <w:r>
        <w:rPr>
          <w:rFonts w:hint="eastAsia" w:ascii="仿宋_GB2312" w:hAnsi="Arial" w:eastAsia="仿宋_GB2312" w:cs="Arial"/>
          <w:color w:val="000000"/>
          <w:sz w:val="32"/>
          <w:szCs w:val="32"/>
        </w:rPr>
        <w:t>被托举人在三年项目实施期间有义务参加学会学术年会、重要学术会议等相关活动。学会将依托相关活动每年为被托举人提供报告学术成果的机会，展示项目成果。</w:t>
      </w:r>
    </w:p>
    <w:p>
      <w:pPr>
        <w:pStyle w:val="7"/>
        <w:spacing w:before="0" w:beforeAutospacing="0" w:after="0" w:afterAutospacing="0" w:line="550" w:lineRule="exact"/>
        <w:ind w:firstLine="643"/>
        <w:jc w:val="both"/>
        <w:rPr>
          <w:rFonts w:ascii="仿宋_GB2312" w:hAnsi="Arial" w:eastAsia="仿宋_GB2312" w:cs="Arial"/>
          <w:b/>
          <w:bCs/>
          <w:color w:val="000000"/>
          <w:sz w:val="32"/>
          <w:szCs w:val="32"/>
        </w:rPr>
      </w:pPr>
      <w:r>
        <w:rPr>
          <w:rFonts w:hint="eastAsia" w:ascii="仿宋_GB2312" w:hAnsi="Arial" w:eastAsia="仿宋_GB2312" w:cs="Arial"/>
          <w:b/>
          <w:bCs/>
          <w:color w:val="000000"/>
          <w:sz w:val="32"/>
          <w:szCs w:val="32"/>
        </w:rPr>
        <w:t xml:space="preserve">第十三条  </w:t>
      </w:r>
      <w:r>
        <w:rPr>
          <w:rFonts w:hint="eastAsia" w:ascii="仿宋_GB2312" w:hAnsi="Times New Roman" w:eastAsia="仿宋_GB2312" w:cs="Times New Roman"/>
          <w:color w:val="000000"/>
          <w:sz w:val="32"/>
          <w:szCs w:val="32"/>
        </w:rPr>
        <w:t>对青托项目执行期内出现的重大问题和情况的，被托举人及所在单位应及时上报书面申请并协商解决。</w:t>
      </w:r>
    </w:p>
    <w:p>
      <w:pPr>
        <w:pStyle w:val="7"/>
        <w:spacing w:before="0" w:beforeAutospacing="0" w:after="0" w:afterAutospacing="0" w:line="550" w:lineRule="exact"/>
        <w:ind w:firstLine="643"/>
        <w:jc w:val="both"/>
        <w:rPr>
          <w:rFonts w:ascii="Arial" w:hAnsi="Arial" w:cs="Arial"/>
          <w:color w:val="000000"/>
          <w:sz w:val="18"/>
          <w:szCs w:val="18"/>
        </w:rPr>
      </w:pPr>
      <w:r>
        <w:rPr>
          <w:rFonts w:hint="eastAsia" w:ascii="仿宋_GB2312" w:hAnsi="Arial" w:eastAsia="仿宋_GB2312" w:cs="Arial"/>
          <w:b/>
          <w:bCs/>
          <w:color w:val="000000"/>
          <w:sz w:val="32"/>
          <w:szCs w:val="32"/>
        </w:rPr>
        <w:t xml:space="preserve">第十四条  </w:t>
      </w:r>
      <w:r>
        <w:rPr>
          <w:rFonts w:hint="eastAsia" w:ascii="仿宋_GB2312" w:hAnsi="Arial" w:eastAsia="仿宋_GB2312" w:cs="Arial"/>
          <w:color w:val="000000"/>
          <w:sz w:val="32"/>
          <w:szCs w:val="32"/>
        </w:rPr>
        <w:t>项目实施过程中，如遇针对被托举人学术诚信问题投诉或者法律纠纷等，学会将按照中国科协有关规定执行。</w:t>
      </w:r>
    </w:p>
    <w:p>
      <w:pPr>
        <w:pStyle w:val="7"/>
        <w:spacing w:before="0" w:beforeAutospacing="0" w:after="0" w:afterAutospacing="0" w:line="550" w:lineRule="exact"/>
        <w:ind w:firstLine="667"/>
        <w:jc w:val="both"/>
        <w:rPr>
          <w:rFonts w:ascii="仿宋_GB2312" w:hAnsi="Arial" w:eastAsia="仿宋_GB2312" w:cs="Arial"/>
          <w:color w:val="000000"/>
          <w:spacing w:val="6"/>
          <w:sz w:val="32"/>
          <w:szCs w:val="32"/>
          <w:highlight w:val="lightGray"/>
        </w:rPr>
      </w:pPr>
      <w:r>
        <w:rPr>
          <w:rFonts w:hint="eastAsia" w:ascii="仿宋_GB2312" w:hAnsi="Arial" w:eastAsia="仿宋_GB2312" w:cs="Arial"/>
          <w:b/>
          <w:bCs/>
          <w:color w:val="000000"/>
          <w:sz w:val="32"/>
          <w:szCs w:val="32"/>
        </w:rPr>
        <w:t xml:space="preserve">第十五条  </w:t>
      </w:r>
      <w:r>
        <w:rPr>
          <w:rFonts w:hint="eastAsia" w:ascii="仿宋_GB2312" w:hAnsi="Arial" w:eastAsia="仿宋_GB2312" w:cs="Arial"/>
          <w:color w:val="000000"/>
          <w:spacing w:val="6"/>
          <w:sz w:val="32"/>
          <w:szCs w:val="32"/>
        </w:rPr>
        <w:t>被托举人及其所在单位应当严格履行合同所确定的各项义务，出现违反合同约定的内容，学会将根据情况终止合同。对于无故不履行合同的，被托举人及其所在单位应当依据合同的约定承担违约责任。</w:t>
      </w:r>
    </w:p>
    <w:p>
      <w:pPr>
        <w:pStyle w:val="7"/>
        <w:spacing w:before="0" w:beforeAutospacing="0" w:after="0" w:afterAutospacing="0" w:line="550" w:lineRule="exact"/>
        <w:ind w:firstLine="667"/>
        <w:jc w:val="both"/>
        <w:rPr>
          <w:rFonts w:ascii="仿宋_GB2312" w:hAnsi="Arial" w:eastAsia="仿宋_GB2312" w:cs="Arial"/>
          <w:color w:val="000000"/>
          <w:spacing w:val="6"/>
          <w:sz w:val="32"/>
          <w:szCs w:val="32"/>
          <w:highlight w:val="lightGray"/>
        </w:rPr>
      </w:pPr>
    </w:p>
    <w:p>
      <w:pPr>
        <w:spacing w:line="550" w:lineRule="exact"/>
        <w:ind w:firstLine="640"/>
        <w:jc w:val="center"/>
        <w:rPr>
          <w:rFonts w:ascii="Arial" w:hAnsi="Arial" w:cs="Arial"/>
          <w:color w:val="000000"/>
          <w:sz w:val="18"/>
          <w:szCs w:val="18"/>
        </w:rPr>
      </w:pPr>
      <w:r>
        <w:rPr>
          <w:rFonts w:hint="eastAsia" w:ascii="黑体" w:hAnsi="黑体" w:eastAsia="黑体" w:cs="Arial"/>
          <w:color w:val="000000"/>
          <w:szCs w:val="32"/>
        </w:rPr>
        <w:t>第五章</w:t>
      </w:r>
      <w:r>
        <w:rPr>
          <w:rFonts w:hint="eastAsia" w:ascii="宋体" w:hAnsi="宋体" w:eastAsia="宋体" w:cs="宋体"/>
          <w:color w:val="000000"/>
          <w:szCs w:val="32"/>
        </w:rPr>
        <w:t>  </w:t>
      </w:r>
      <w:r>
        <w:rPr>
          <w:rFonts w:hint="eastAsia" w:ascii="黑体" w:hAnsi="黑体" w:eastAsia="黑体" w:cs="Arial"/>
          <w:color w:val="000000"/>
          <w:szCs w:val="32"/>
        </w:rPr>
        <w:t>经费管理</w:t>
      </w:r>
    </w:p>
    <w:p>
      <w:pPr>
        <w:pStyle w:val="7"/>
        <w:spacing w:before="0" w:beforeAutospacing="0" w:after="0" w:afterAutospacing="0" w:line="550" w:lineRule="exact"/>
        <w:ind w:firstLine="643"/>
        <w:jc w:val="both"/>
        <w:rPr>
          <w:rFonts w:ascii="Arial" w:hAnsi="Arial" w:cs="Arial"/>
          <w:color w:val="000000"/>
          <w:sz w:val="18"/>
          <w:szCs w:val="18"/>
        </w:rPr>
      </w:pPr>
      <w:r>
        <w:rPr>
          <w:rFonts w:hint="eastAsia" w:ascii="仿宋_GB2312" w:hAnsi="Arial" w:eastAsia="仿宋_GB2312" w:cs="Arial"/>
          <w:b/>
          <w:bCs/>
          <w:color w:val="000000"/>
          <w:sz w:val="32"/>
          <w:szCs w:val="32"/>
        </w:rPr>
        <w:t xml:space="preserve">第十六条  </w:t>
      </w:r>
      <w:r>
        <w:rPr>
          <w:rFonts w:hint="eastAsia" w:ascii="仿宋_GB2312" w:hAnsi="Arial" w:eastAsia="仿宋_GB2312" w:cs="Arial"/>
          <w:color w:val="000000"/>
          <w:sz w:val="32"/>
          <w:szCs w:val="32"/>
        </w:rPr>
        <w:t>学会拨款前与被托举人及其所在单位等签订协议，说明经费使用计划，被托举人对项目经费有自主支配权。</w:t>
      </w:r>
    </w:p>
    <w:p>
      <w:pPr>
        <w:pStyle w:val="7"/>
        <w:spacing w:before="0" w:beforeAutospacing="0" w:after="0" w:afterAutospacing="0" w:line="550" w:lineRule="exact"/>
        <w:ind w:firstLine="643"/>
        <w:jc w:val="both"/>
        <w:rPr>
          <w:rFonts w:ascii="Arial" w:hAnsi="Arial" w:cs="Arial"/>
          <w:color w:val="000000"/>
          <w:sz w:val="18"/>
          <w:szCs w:val="18"/>
        </w:rPr>
      </w:pPr>
      <w:r>
        <w:rPr>
          <w:rFonts w:hint="eastAsia" w:ascii="仿宋_GB2312" w:hAnsi="Arial" w:eastAsia="仿宋_GB2312" w:cs="Arial"/>
          <w:b/>
          <w:bCs/>
          <w:color w:val="000000"/>
          <w:sz w:val="32"/>
          <w:szCs w:val="32"/>
        </w:rPr>
        <w:t>第十七条</w:t>
      </w:r>
      <w:r>
        <w:rPr>
          <w:rFonts w:hint="eastAsia" w:ascii="仿宋_GB2312" w:hAnsi="Arial" w:eastAsia="仿宋_GB2312" w:cs="Arial"/>
          <w:color w:val="000000"/>
          <w:sz w:val="32"/>
          <w:szCs w:val="32"/>
        </w:rPr>
        <w:t xml:space="preserve">  青托项目经费主要用于托举过程中所发生的相关支出，包括：</w:t>
      </w:r>
    </w:p>
    <w:p>
      <w:pPr>
        <w:pStyle w:val="7"/>
        <w:spacing w:before="0" w:beforeAutospacing="0" w:after="0" w:afterAutospacing="0" w:line="550" w:lineRule="exact"/>
        <w:ind w:firstLine="640"/>
        <w:jc w:val="both"/>
        <w:rPr>
          <w:rFonts w:ascii="Arial" w:hAnsi="Arial" w:cs="Arial"/>
          <w:color w:val="000000"/>
          <w:sz w:val="18"/>
          <w:szCs w:val="18"/>
        </w:rPr>
      </w:pPr>
      <w:r>
        <w:rPr>
          <w:rFonts w:hint="eastAsia" w:ascii="仿宋_GB2312" w:hAnsi="Arial" w:eastAsia="仿宋_GB2312" w:cs="Arial"/>
          <w:color w:val="000000"/>
          <w:sz w:val="32"/>
          <w:szCs w:val="32"/>
        </w:rPr>
        <w:t>（一）开展调研、咨询、研讨、交流、培训等活动的费用；</w:t>
      </w:r>
    </w:p>
    <w:p>
      <w:pPr>
        <w:pStyle w:val="7"/>
        <w:spacing w:before="0" w:beforeAutospacing="0" w:after="0" w:afterAutospacing="0" w:line="550" w:lineRule="exact"/>
        <w:ind w:firstLine="640"/>
        <w:jc w:val="both"/>
        <w:rPr>
          <w:rFonts w:ascii="Arial" w:hAnsi="Arial" w:cs="Arial"/>
          <w:color w:val="000000"/>
          <w:sz w:val="18"/>
          <w:szCs w:val="18"/>
        </w:rPr>
      </w:pPr>
      <w:r>
        <w:rPr>
          <w:rFonts w:hint="eastAsia" w:ascii="仿宋_GB2312" w:hAnsi="Arial" w:eastAsia="仿宋_GB2312" w:cs="Arial"/>
          <w:color w:val="000000"/>
          <w:sz w:val="32"/>
          <w:szCs w:val="32"/>
        </w:rPr>
        <w:t>（二）学术交流活动中涉及的会议费、差旅费等；</w:t>
      </w:r>
    </w:p>
    <w:p>
      <w:pPr>
        <w:pStyle w:val="7"/>
        <w:spacing w:before="0" w:beforeAutospacing="0" w:after="0" w:afterAutospacing="0" w:line="550" w:lineRule="exact"/>
        <w:ind w:firstLine="640"/>
        <w:jc w:val="both"/>
        <w:rPr>
          <w:rFonts w:ascii="Arial" w:hAnsi="Arial" w:cs="Arial"/>
          <w:color w:val="000000"/>
          <w:sz w:val="18"/>
          <w:szCs w:val="18"/>
        </w:rPr>
      </w:pPr>
      <w:r>
        <w:rPr>
          <w:rFonts w:hint="eastAsia" w:ascii="仿宋_GB2312" w:hAnsi="Arial" w:eastAsia="仿宋_GB2312" w:cs="Arial"/>
          <w:color w:val="000000"/>
          <w:sz w:val="32"/>
          <w:szCs w:val="32"/>
        </w:rPr>
        <w:t>（三）编印购买图书资料、租用购置仪器设备、发表文章等费用；</w:t>
      </w:r>
    </w:p>
    <w:p>
      <w:pPr>
        <w:pStyle w:val="7"/>
        <w:spacing w:before="0" w:beforeAutospacing="0" w:after="0" w:afterAutospacing="0" w:line="550" w:lineRule="exact"/>
        <w:ind w:firstLine="640"/>
        <w:jc w:val="both"/>
        <w:rPr>
          <w:rFonts w:ascii="Arial" w:hAnsi="Arial" w:cs="Arial"/>
          <w:color w:val="000000"/>
          <w:sz w:val="18"/>
          <w:szCs w:val="18"/>
        </w:rPr>
      </w:pPr>
      <w:r>
        <w:rPr>
          <w:rFonts w:hint="eastAsia" w:ascii="仿宋_GB2312" w:hAnsi="Arial" w:eastAsia="仿宋_GB2312" w:cs="Arial"/>
          <w:color w:val="000000"/>
          <w:sz w:val="32"/>
          <w:szCs w:val="32"/>
        </w:rPr>
        <w:t>（四）开展国际交流合作活动的费用；</w:t>
      </w:r>
    </w:p>
    <w:p>
      <w:pPr>
        <w:pStyle w:val="7"/>
        <w:spacing w:before="0" w:beforeAutospacing="0" w:after="0" w:afterAutospacing="0" w:line="550" w:lineRule="exact"/>
        <w:ind w:firstLine="640"/>
        <w:jc w:val="both"/>
        <w:rPr>
          <w:rFonts w:ascii="Arial" w:hAnsi="Arial" w:cs="Arial"/>
          <w:color w:val="000000"/>
          <w:sz w:val="18"/>
          <w:szCs w:val="18"/>
        </w:rPr>
      </w:pPr>
      <w:r>
        <w:rPr>
          <w:rFonts w:hint="eastAsia" w:ascii="仿宋_GB2312" w:hAnsi="Arial" w:eastAsia="仿宋_GB2312" w:cs="Arial"/>
          <w:color w:val="000000"/>
          <w:sz w:val="32"/>
          <w:szCs w:val="32"/>
        </w:rPr>
        <w:t>（五）科研工作中涉及的人员劳务、专家咨询、材料耗材、设备运行维护、燃料动力及委托业务等有关费用；</w:t>
      </w:r>
    </w:p>
    <w:p>
      <w:pPr>
        <w:pStyle w:val="7"/>
        <w:spacing w:before="0" w:beforeAutospacing="0" w:after="0" w:afterAutospacing="0" w:line="550" w:lineRule="exact"/>
        <w:ind w:firstLine="640"/>
        <w:jc w:val="both"/>
        <w:rPr>
          <w:rFonts w:ascii="仿宋_GB2312" w:hAnsi="Arial" w:eastAsia="仿宋_GB2312" w:cs="Arial"/>
          <w:color w:val="000000"/>
          <w:sz w:val="32"/>
          <w:szCs w:val="32"/>
        </w:rPr>
      </w:pPr>
      <w:r>
        <w:rPr>
          <w:rFonts w:hint="eastAsia" w:ascii="仿宋_GB2312" w:hAnsi="Arial" w:eastAsia="仿宋_GB2312" w:cs="Arial"/>
          <w:color w:val="000000"/>
          <w:sz w:val="32"/>
          <w:szCs w:val="32"/>
        </w:rPr>
        <w:t>（六）其他与青年人才托举工作相关的支出。</w:t>
      </w:r>
    </w:p>
    <w:p>
      <w:pPr>
        <w:spacing w:line="550" w:lineRule="exact"/>
        <w:ind w:firstLine="643"/>
        <w:rPr>
          <w:rFonts w:ascii="Arial" w:hAnsi="Arial" w:cs="Arial"/>
          <w:color w:val="000000"/>
          <w:sz w:val="18"/>
          <w:szCs w:val="18"/>
        </w:rPr>
      </w:pPr>
      <w:r>
        <w:rPr>
          <w:rFonts w:hint="eastAsia" w:hAnsi="Arial" w:cs="Arial"/>
          <w:b/>
          <w:bCs/>
          <w:color w:val="000000"/>
          <w:szCs w:val="32"/>
        </w:rPr>
        <w:t>第十八条</w:t>
      </w:r>
      <w:r>
        <w:rPr>
          <w:rFonts w:hint="eastAsia" w:hAnsi="Arial" w:cs="Arial"/>
          <w:b/>
          <w:bCs/>
          <w:color w:val="000000"/>
          <w:spacing w:val="6"/>
          <w:szCs w:val="32"/>
        </w:rPr>
        <w:t xml:space="preserve">  </w:t>
      </w:r>
      <w:r>
        <w:rPr>
          <w:rFonts w:hint="eastAsia" w:hAnsi="Arial" w:cs="Arial"/>
          <w:color w:val="000000"/>
          <w:spacing w:val="6"/>
          <w:szCs w:val="32"/>
        </w:rPr>
        <w:t>项目若因故中止，经费处理依照</w:t>
      </w:r>
      <w:r>
        <w:rPr>
          <w:rFonts w:hint="eastAsia" w:hAnsi="Arial" w:cs="Arial"/>
          <w:color w:val="000000"/>
          <w:szCs w:val="32"/>
        </w:rPr>
        <w:t>中国</w:t>
      </w:r>
      <w:r>
        <w:rPr>
          <w:rFonts w:hint="eastAsia" w:hAnsi="Arial" w:cs="Arial"/>
          <w:color w:val="000000"/>
          <w:spacing w:val="6"/>
          <w:szCs w:val="32"/>
        </w:rPr>
        <w:t>科协相关文件规定执行。</w:t>
      </w:r>
    </w:p>
    <w:p>
      <w:pPr>
        <w:spacing w:line="550" w:lineRule="exact"/>
        <w:ind w:firstLine="640"/>
        <w:jc w:val="center"/>
        <w:rPr>
          <w:rFonts w:ascii="黑体" w:hAnsi="黑体" w:eastAsia="黑体" w:cs="Arial"/>
          <w:color w:val="000000"/>
          <w:szCs w:val="32"/>
        </w:rPr>
      </w:pPr>
    </w:p>
    <w:p>
      <w:pPr>
        <w:spacing w:line="550" w:lineRule="exact"/>
        <w:ind w:firstLine="640"/>
        <w:jc w:val="center"/>
        <w:rPr>
          <w:rFonts w:ascii="Arial" w:hAnsi="Arial" w:cs="Arial"/>
          <w:color w:val="000000"/>
          <w:sz w:val="18"/>
          <w:szCs w:val="18"/>
        </w:rPr>
      </w:pPr>
      <w:r>
        <w:rPr>
          <w:rFonts w:hint="eastAsia" w:ascii="黑体" w:hAnsi="黑体" w:eastAsia="黑体" w:cs="Arial"/>
          <w:color w:val="000000"/>
          <w:szCs w:val="32"/>
        </w:rPr>
        <w:t>第六章</w:t>
      </w:r>
      <w:r>
        <w:rPr>
          <w:rFonts w:hint="eastAsia" w:ascii="宋体" w:hAnsi="宋体" w:eastAsia="宋体" w:cs="宋体"/>
          <w:color w:val="000000"/>
          <w:szCs w:val="32"/>
        </w:rPr>
        <w:t>  </w:t>
      </w:r>
      <w:r>
        <w:rPr>
          <w:rFonts w:hint="eastAsia" w:ascii="黑体" w:hAnsi="黑体" w:eastAsia="黑体" w:cs="Arial"/>
          <w:color w:val="000000"/>
          <w:szCs w:val="32"/>
        </w:rPr>
        <w:t>验收与结项</w:t>
      </w:r>
    </w:p>
    <w:p>
      <w:pPr>
        <w:pStyle w:val="7"/>
        <w:spacing w:before="0" w:beforeAutospacing="0" w:after="0" w:afterAutospacing="0" w:line="550" w:lineRule="exact"/>
        <w:ind w:firstLine="643"/>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第十九条</w:t>
      </w:r>
      <w:r>
        <w:rPr>
          <w:rFonts w:hint="eastAsia" w:ascii="仿宋_GB2312" w:hAnsi="Arial" w:eastAsia="仿宋_GB2312" w:cs="Arial"/>
          <w:color w:val="000000"/>
          <w:sz w:val="32"/>
          <w:szCs w:val="32"/>
        </w:rPr>
        <w:t xml:space="preserve">  学会积极鼓励被托举人最大自由度的探索研究，强调长期潜力。</w:t>
      </w:r>
    </w:p>
    <w:p>
      <w:pPr>
        <w:pStyle w:val="7"/>
        <w:spacing w:before="0" w:beforeAutospacing="0" w:after="0" w:afterAutospacing="0" w:line="550" w:lineRule="exact"/>
        <w:ind w:firstLine="643"/>
        <w:jc w:val="both"/>
        <w:rPr>
          <w:rFonts w:ascii="仿宋_GB2312" w:hAnsi="Arial" w:eastAsia="仿宋_GB2312" w:cs="Arial"/>
          <w:color w:val="000000"/>
          <w:sz w:val="32"/>
          <w:szCs w:val="32"/>
        </w:rPr>
      </w:pPr>
      <w:r>
        <w:rPr>
          <w:rFonts w:hint="eastAsia" w:ascii="仿宋_GB2312" w:hAnsi="Arial" w:eastAsia="仿宋_GB2312" w:cs="Arial"/>
          <w:b/>
          <w:bCs/>
          <w:color w:val="000000"/>
          <w:sz w:val="32"/>
          <w:szCs w:val="32"/>
        </w:rPr>
        <w:t xml:space="preserve">第二十条  </w:t>
      </w:r>
      <w:r>
        <w:rPr>
          <w:rFonts w:hint="eastAsia" w:ascii="仿宋_GB2312" w:hAnsi="Arial" w:eastAsia="仿宋_GB2312" w:cs="Arial"/>
          <w:color w:val="000000"/>
          <w:sz w:val="32"/>
          <w:szCs w:val="32"/>
        </w:rPr>
        <w:t>被托举人每年需向学会提交年度工作进展报告和年度经费使用情况。</w:t>
      </w:r>
    </w:p>
    <w:p>
      <w:pPr>
        <w:pStyle w:val="7"/>
        <w:spacing w:before="0" w:beforeAutospacing="0" w:after="0" w:afterAutospacing="0" w:line="550" w:lineRule="exact"/>
        <w:ind w:firstLine="643"/>
        <w:jc w:val="both"/>
        <w:rPr>
          <w:rFonts w:ascii="Arial" w:hAnsi="Arial" w:cs="Arial"/>
          <w:color w:val="000000"/>
          <w:sz w:val="18"/>
          <w:szCs w:val="18"/>
        </w:rPr>
      </w:pPr>
      <w:r>
        <w:rPr>
          <w:rFonts w:hint="eastAsia" w:ascii="仿宋_GB2312" w:hAnsi="Arial" w:eastAsia="仿宋_GB2312" w:cs="Arial"/>
          <w:b/>
          <w:bCs/>
          <w:color w:val="000000"/>
          <w:sz w:val="32"/>
          <w:szCs w:val="32"/>
        </w:rPr>
        <w:t xml:space="preserve">第二十一条  </w:t>
      </w:r>
      <w:r>
        <w:rPr>
          <w:rFonts w:hint="eastAsia" w:ascii="仿宋_GB2312" w:hAnsi="Arial" w:eastAsia="仿宋_GB2312" w:cs="Arial"/>
          <w:color w:val="000000"/>
          <w:sz w:val="32"/>
          <w:szCs w:val="32"/>
        </w:rPr>
        <w:t>三年资助期满，学会按照中国科协每届项目结束前发布的项目结项验收通知，通知被托举人按要求准备验收材料，包括业务材料和财务决算材料。被托举人应</w:t>
      </w:r>
      <w:r>
        <w:rPr>
          <w:rFonts w:hint="eastAsia" w:ascii="仿宋_GB2312" w:hAnsi="Times New Roman" w:eastAsia="仿宋_GB2312" w:cs="Times New Roman"/>
          <w:color w:val="000000"/>
          <w:sz w:val="32"/>
          <w:szCs w:val="32"/>
        </w:rPr>
        <w:t>对资料的真实性和</w:t>
      </w:r>
      <w:r>
        <w:fldChar w:fldCharType="begin"/>
      </w:r>
      <w:r>
        <w:instrText xml:space="preserve">HYPERLINK "http://wiki.antpedia.com/zhongguodaxingjingmiyazhumojukekaonaiyongxingnengdaitisheng-76400-news"</w:instrText>
      </w:r>
      <w:r>
        <w:fldChar w:fldCharType="separate"/>
      </w:r>
      <w:r>
        <w:rPr>
          <w:rFonts w:hint="eastAsia" w:ascii="仿宋_GB2312" w:hAnsi="Times New Roman" w:eastAsia="仿宋_GB2312" w:cs="Times New Roman"/>
          <w:color w:val="000000"/>
          <w:sz w:val="32"/>
          <w:szCs w:val="32"/>
        </w:rPr>
        <w:t>可靠性</w:t>
      </w:r>
      <w:r>
        <w:fldChar w:fldCharType="end"/>
      </w:r>
      <w:r>
        <w:rPr>
          <w:rFonts w:hint="eastAsia" w:ascii="仿宋_GB2312" w:hAnsi="Times New Roman" w:eastAsia="仿宋_GB2312" w:cs="Times New Roman"/>
          <w:color w:val="000000"/>
          <w:sz w:val="32"/>
          <w:szCs w:val="32"/>
        </w:rPr>
        <w:t>负责</w:t>
      </w:r>
      <w:r>
        <w:rPr>
          <w:rFonts w:hint="eastAsia" w:ascii="仿宋_GB2312" w:hAnsi="Arial" w:eastAsia="仿宋_GB2312" w:cs="Arial"/>
          <w:color w:val="000000"/>
          <w:sz w:val="32"/>
          <w:szCs w:val="32"/>
        </w:rPr>
        <w:t>。</w:t>
      </w:r>
    </w:p>
    <w:p>
      <w:pPr>
        <w:pStyle w:val="7"/>
        <w:spacing w:before="0" w:beforeAutospacing="0" w:after="0" w:afterAutospacing="0" w:line="550" w:lineRule="exact"/>
        <w:ind w:firstLine="643"/>
        <w:jc w:val="both"/>
        <w:rPr>
          <w:rFonts w:ascii="Arial" w:hAnsi="Arial" w:cs="Arial"/>
          <w:color w:val="000000"/>
          <w:sz w:val="18"/>
          <w:szCs w:val="18"/>
        </w:rPr>
      </w:pPr>
      <w:r>
        <w:rPr>
          <w:rFonts w:hint="eastAsia" w:ascii="仿宋_GB2312" w:hAnsi="Arial" w:eastAsia="仿宋_GB2312" w:cs="Arial"/>
          <w:b/>
          <w:bCs/>
          <w:color w:val="000000"/>
          <w:sz w:val="32"/>
          <w:szCs w:val="32"/>
        </w:rPr>
        <w:t>第二十二条</w:t>
      </w:r>
      <w:r>
        <w:rPr>
          <w:rFonts w:hint="eastAsia" w:ascii="仿宋_GB2312" w:hAnsi="Arial" w:eastAsia="仿宋_GB2312" w:cs="Arial"/>
          <w:color w:val="000000"/>
          <w:sz w:val="32"/>
          <w:szCs w:val="32"/>
        </w:rPr>
        <w:t xml:space="preserve">  学会享有被托举人项目结项验收材料的后续使用权。被托举人在项目完成后有义务在学会编撰成果宣传材料时提供后续材料。</w:t>
      </w:r>
    </w:p>
    <w:p>
      <w:pPr>
        <w:pStyle w:val="7"/>
        <w:spacing w:before="0" w:beforeAutospacing="0" w:after="0" w:afterAutospacing="0" w:line="550" w:lineRule="exact"/>
        <w:ind w:firstLine="640"/>
        <w:jc w:val="both"/>
        <w:rPr>
          <w:rFonts w:ascii="Arial" w:hAnsi="Arial" w:cs="Arial"/>
          <w:color w:val="000000"/>
          <w:sz w:val="18"/>
          <w:szCs w:val="18"/>
        </w:rPr>
      </w:pPr>
      <w:r>
        <w:rPr>
          <w:rFonts w:hint="eastAsia" w:ascii="仿宋_GB2312" w:hAnsi="Arial" w:eastAsia="仿宋_GB2312" w:cs="Arial"/>
          <w:color w:val="000000"/>
          <w:sz w:val="32"/>
          <w:szCs w:val="32"/>
        </w:rPr>
        <w:t> </w:t>
      </w:r>
    </w:p>
    <w:p>
      <w:pPr>
        <w:spacing w:line="550" w:lineRule="exact"/>
        <w:ind w:firstLine="640"/>
        <w:jc w:val="center"/>
        <w:rPr>
          <w:rFonts w:ascii="Arial" w:hAnsi="Arial" w:cs="Arial"/>
          <w:color w:val="000000"/>
          <w:sz w:val="18"/>
          <w:szCs w:val="18"/>
        </w:rPr>
      </w:pPr>
      <w:r>
        <w:rPr>
          <w:rFonts w:hint="eastAsia" w:ascii="黑体" w:hAnsi="黑体" w:eastAsia="黑体" w:cs="Arial"/>
          <w:color w:val="000000"/>
          <w:szCs w:val="32"/>
        </w:rPr>
        <w:t>第七章</w:t>
      </w:r>
      <w:r>
        <w:rPr>
          <w:rFonts w:hint="eastAsia" w:ascii="宋体" w:hAnsi="宋体" w:eastAsia="宋体" w:cs="宋体"/>
          <w:color w:val="000000"/>
          <w:szCs w:val="32"/>
        </w:rPr>
        <w:t>  </w:t>
      </w:r>
      <w:r>
        <w:rPr>
          <w:rFonts w:hint="eastAsia" w:ascii="黑体" w:hAnsi="黑体" w:eastAsia="黑体" w:cs="Arial"/>
          <w:color w:val="000000"/>
          <w:szCs w:val="32"/>
        </w:rPr>
        <w:t>附</w:t>
      </w:r>
      <w:r>
        <w:rPr>
          <w:rFonts w:hint="eastAsia" w:ascii="宋体" w:hAnsi="宋体" w:eastAsia="宋体" w:cs="宋体"/>
          <w:color w:val="000000"/>
          <w:szCs w:val="32"/>
        </w:rPr>
        <w:t>  </w:t>
      </w:r>
      <w:r>
        <w:rPr>
          <w:rFonts w:hint="eastAsia" w:ascii="黑体" w:hAnsi="黑体" w:eastAsia="黑体" w:cs="Arial"/>
          <w:color w:val="000000"/>
          <w:szCs w:val="32"/>
        </w:rPr>
        <w:t>则</w:t>
      </w:r>
    </w:p>
    <w:p>
      <w:pPr>
        <w:spacing w:line="550" w:lineRule="exact"/>
        <w:ind w:firstLine="574"/>
        <w:rPr>
          <w:rFonts w:ascii="Arial" w:hAnsi="Arial" w:cs="Arial"/>
          <w:color w:val="000000"/>
          <w:sz w:val="18"/>
          <w:szCs w:val="18"/>
        </w:rPr>
      </w:pPr>
      <w:r>
        <w:rPr>
          <w:rFonts w:hint="eastAsia" w:hAnsi="Arial" w:cs="Arial"/>
          <w:b/>
          <w:bCs/>
          <w:color w:val="000000"/>
          <w:spacing w:val="-17"/>
          <w:szCs w:val="32"/>
        </w:rPr>
        <w:t>第</w:t>
      </w:r>
      <w:r>
        <w:rPr>
          <w:rFonts w:hint="eastAsia" w:hAnsi="Arial" w:cs="Arial"/>
          <w:b/>
          <w:bCs/>
          <w:color w:val="000000"/>
          <w:szCs w:val="32"/>
        </w:rPr>
        <w:t>二十三</w:t>
      </w:r>
      <w:r>
        <w:rPr>
          <w:rFonts w:hint="eastAsia" w:hAnsi="Arial" w:cs="Arial"/>
          <w:b/>
          <w:bCs/>
          <w:color w:val="000000"/>
          <w:spacing w:val="-17"/>
          <w:szCs w:val="32"/>
        </w:rPr>
        <w:t xml:space="preserve">条   </w:t>
      </w:r>
      <w:r>
        <w:rPr>
          <w:rFonts w:hint="eastAsia" w:hAnsi="Arial" w:cs="Arial"/>
          <w:color w:val="000000"/>
          <w:kern w:val="0"/>
          <w:szCs w:val="32"/>
        </w:rPr>
        <w:t>本办法由中国检验检测学会秘书处负责解释。</w:t>
      </w:r>
    </w:p>
    <w:p>
      <w:pPr>
        <w:spacing w:line="550" w:lineRule="exact"/>
        <w:ind w:firstLine="643"/>
        <w:rPr>
          <w:rFonts w:hint="eastAsia" w:ascii="Arial" w:hAnsi="Arial" w:cs="Arial"/>
          <w:color w:val="000000"/>
          <w:sz w:val="18"/>
          <w:szCs w:val="18"/>
        </w:rPr>
      </w:pPr>
      <w:r>
        <w:rPr>
          <w:rFonts w:hint="eastAsia" w:hAnsi="Arial" w:cs="Arial"/>
          <w:b/>
          <w:bCs/>
          <w:color w:val="000000"/>
          <w:szCs w:val="32"/>
        </w:rPr>
        <w:t xml:space="preserve">第二十四条  </w:t>
      </w:r>
      <w:r>
        <w:rPr>
          <w:rFonts w:hint="eastAsia" w:hAnsi="Arial" w:cs="Arial"/>
          <w:color w:val="000000"/>
          <w:szCs w:val="32"/>
        </w:rPr>
        <w:t>本办法自发布之日起施行。</w:t>
      </w:r>
      <w:r>
        <w:rPr>
          <w:rFonts w:ascii="Arial" w:hAnsi="Arial" w:cs="Arial"/>
          <w:color w:val="000000"/>
          <w:sz w:val="18"/>
          <w:szCs w:val="18"/>
        </w:rPr>
        <w:t>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EAC0AD6-CFCF-4A61-8409-8735FDAFBB11}"/>
  </w:font>
  <w:font w:name="黑体">
    <w:panose1 w:val="02010609060101010101"/>
    <w:charset w:val="86"/>
    <w:family w:val="auto"/>
    <w:pitch w:val="default"/>
    <w:sig w:usb0="800002BF" w:usb1="38CF7CFA" w:usb2="00000016" w:usb3="00000000" w:csb0="00040001" w:csb1="00000000"/>
    <w:embedRegular r:id="rId2" w:fontKey="{8FA16E23-7702-4AD9-BA98-402C023816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784AAAB-9A5F-49B0-8891-7A41C1F903F3}"/>
  </w:font>
  <w:font w:name="仿宋_GB2312">
    <w:altName w:val="仿宋"/>
    <w:panose1 w:val="02010609030101010101"/>
    <w:charset w:val="86"/>
    <w:family w:val="modern"/>
    <w:pitch w:val="default"/>
    <w:sig w:usb0="00000000" w:usb1="00000000" w:usb2="00000010" w:usb3="00000000" w:csb0="00040000" w:csb1="00000000"/>
    <w:embedRegular r:id="rId4" w:fontKey="{709FD72E-A72F-4E82-A28E-9A6BF2BD4748}"/>
  </w:font>
  <w:font w:name="方正小标宋简体">
    <w:panose1 w:val="02000000000000000000"/>
    <w:charset w:val="86"/>
    <w:family w:val="auto"/>
    <w:pitch w:val="default"/>
    <w:sig w:usb0="00000001" w:usb1="08000000" w:usb2="00000000" w:usb3="00000000" w:csb0="00040000" w:csb1="00000000"/>
    <w:embedRegular r:id="rId5" w:fontKey="{71BBC372-F576-43A5-8AA9-16DF356D8777}"/>
  </w:font>
  <w:font w:name="小标宋">
    <w:altName w:val="微软雅黑"/>
    <w:panose1 w:val="03000509000000000000"/>
    <w:charset w:val="86"/>
    <w:family w:val="script"/>
    <w:pitch w:val="default"/>
    <w:sig w:usb0="00000000" w:usb1="00000000" w:usb2="00000010" w:usb3="00000000" w:csb0="00040000" w:csb1="00000000"/>
    <w:embedRegular r:id="rId6" w:fontKey="{C0328E78-DC8B-42BB-80DA-C2AA51652B02}"/>
  </w:font>
  <w:font w:name="仿宋">
    <w:panose1 w:val="02010609060101010101"/>
    <w:charset w:val="86"/>
    <w:family w:val="auto"/>
    <w:pitch w:val="default"/>
    <w:sig w:usb0="800002BF" w:usb1="38CF7CFA" w:usb2="00000016" w:usb3="00000000" w:csb0="00040001" w:csb1="00000000"/>
    <w:embedRegular r:id="rId7" w:fontKey="{C55B9A57-5E0E-4F91-8755-BC071B1B1867}"/>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YjEzZGJiN2EzM2Y2NDAwZTQ5NDQzZDVlOGRhMGYifQ=="/>
  </w:docVars>
  <w:rsids>
    <w:rsidRoot w:val="671007F1"/>
    <w:rsid w:val="6710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54" w:lineRule="exact"/>
      <w:ind w:firstLine="200" w:firstLineChars="20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line="240" w:lineRule="atLeast"/>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表格"/>
    <w:basedOn w:val="1"/>
    <w:qFormat/>
    <w:uiPriority w:val="0"/>
    <w:pPr>
      <w:ind w:firstLine="0" w:firstLineChars="0"/>
    </w:pPr>
  </w:style>
  <w:style w:type="paragraph" w:customStyle="1" w:styleId="7">
    <w:name w:val="1"/>
    <w:basedOn w:val="1"/>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8">
    <w:name w:val="样式1"/>
    <w:basedOn w:val="3"/>
    <w:uiPriority w:val="0"/>
    <w:pPr>
      <w:pBdr>
        <w:bottom w:val="none" w:color="auto" w:sz="0" w:space="0"/>
      </w:pBd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2022-10-18T11:38:00Z</dcterms:created>
  <dc:creator>A～朝暮与年岁并往</dc:creator>
  <cp:lastModifiedBy>A～朝暮与年岁并往</cp:lastModifiedBy>
  <dcterms:modified xsi:type="dcterms:W3CDTF">2022-10-18T11:39:21Z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BC5F8F0CAE8D45BE87B902B7B85E0807</vt:lpwstr>
  </property>
</Properties>
</file>